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jc w:val="center"/>
        <w:rPr>
          <w:rFonts w:ascii="Arial" w:hAnsi="Arial" w:eastAsia="Lucida Sans Unicode" w:cs="Arial"/>
          <w:b/>
          <w:b/>
          <w:bCs/>
          <w:sz w:val="28"/>
          <w:szCs w:val="28"/>
        </w:rPr>
      </w:pPr>
      <w:r>
        <w:rPr>
          <w:rFonts w:eastAsia="Lucida Sans Unicode" w:cs="Arial" w:ascii="Arial" w:hAnsi="Arial"/>
          <w:b/>
          <w:bCs/>
          <w:sz w:val="28"/>
          <w:szCs w:val="28"/>
        </w:rPr>
        <w:t>АДМИНИСТРАЦИЯ</w:t>
      </w:r>
    </w:p>
    <w:p>
      <w:pPr>
        <w:pStyle w:val="Normal"/>
        <w:jc w:val="center"/>
        <w:rPr>
          <w:rFonts w:ascii="Arial" w:hAnsi="Arial" w:eastAsia="Lucida Sans Unicode" w:cs="Arial"/>
          <w:b/>
          <w:b/>
          <w:bCs/>
          <w:sz w:val="28"/>
          <w:szCs w:val="28"/>
        </w:rPr>
      </w:pPr>
      <w:r>
        <w:rPr>
          <w:rFonts w:eastAsia="Lucida Sans Unicode" w:cs="Arial" w:ascii="Arial" w:hAnsi="Arial"/>
          <w:b/>
          <w:bCs/>
          <w:sz w:val="28"/>
          <w:szCs w:val="28"/>
        </w:rPr>
        <w:t>ВЫШНЕДЕРЕВЕНСКОГО СЕЛЬСОВЕТА</w:t>
      </w:r>
    </w:p>
    <w:p>
      <w:pPr>
        <w:pStyle w:val="Normal"/>
        <w:jc w:val="center"/>
        <w:rPr>
          <w:rFonts w:ascii="Arial" w:hAnsi="Arial" w:eastAsia="Lucida Sans Unicode" w:cs="Arial"/>
          <w:b/>
          <w:b/>
          <w:bCs/>
          <w:sz w:val="28"/>
          <w:szCs w:val="28"/>
        </w:rPr>
      </w:pPr>
      <w:r>
        <w:rPr>
          <w:rFonts w:eastAsia="Lucida Sans Unicode" w:cs="Arial" w:ascii="Arial" w:hAnsi="Arial"/>
          <w:b/>
          <w:bCs/>
          <w:sz w:val="28"/>
          <w:szCs w:val="28"/>
        </w:rPr>
        <w:t>ЛЬГОВСКОГО РАЙОНА</w:t>
      </w:r>
    </w:p>
    <w:p>
      <w:pPr>
        <w:pStyle w:val="Normal"/>
        <w:jc w:val="center"/>
        <w:rPr>
          <w:rFonts w:ascii="Arial" w:hAnsi="Arial" w:eastAsia="Lucida Sans Unicode" w:cs="Arial"/>
          <w:b/>
          <w:b/>
          <w:bCs/>
          <w:sz w:val="28"/>
          <w:szCs w:val="28"/>
        </w:rPr>
      </w:pPr>
      <w:r>
        <w:rPr>
          <w:rFonts w:eastAsia="Lucida Sans Unicode" w:cs="Arial" w:ascii="Arial" w:hAnsi="Arial"/>
          <w:b/>
          <w:bCs/>
          <w:sz w:val="28"/>
          <w:szCs w:val="28"/>
        </w:rPr>
      </w:r>
    </w:p>
    <w:p>
      <w:pPr>
        <w:pStyle w:val="Normal"/>
        <w:jc w:val="center"/>
        <w:rPr>
          <w:rFonts w:ascii="Arial" w:hAnsi="Arial" w:eastAsia="Lucida Sans Unicode" w:cs="Arial"/>
          <w:b/>
          <w:b/>
          <w:bCs/>
          <w:sz w:val="28"/>
          <w:szCs w:val="28"/>
        </w:rPr>
      </w:pPr>
      <w:r>
        <w:rPr>
          <w:rFonts w:eastAsia="Lucida Sans Unicode" w:cs="Arial" w:ascii="Arial" w:hAnsi="Arial"/>
          <w:b/>
          <w:bCs/>
          <w:sz w:val="28"/>
          <w:szCs w:val="28"/>
        </w:rPr>
        <w:t>ПОСТАНОВЛЕНИЕ</w:t>
      </w:r>
    </w:p>
    <w:p>
      <w:pPr>
        <w:pStyle w:val="Normal"/>
        <w:rPr>
          <w:rFonts w:ascii="Arial" w:hAnsi="Arial" w:eastAsia="" w:cs="Arial" w:eastAsiaTheme="minorEastAsia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от 19  сентября  2022 года № 75</w:t>
      </w:r>
    </w:p>
    <w:p>
      <w:pPr>
        <w:pStyle w:val="1"/>
        <w:shd w:val="clear" w:color="auto" w:fill="auto"/>
        <w:tabs>
          <w:tab w:val="clear" w:pos="708"/>
          <w:tab w:val="left" w:pos="9355" w:leader="none"/>
        </w:tabs>
        <w:spacing w:lineRule="auto" w:line="240" w:before="0" w:after="0"/>
        <w:ind w:left="23" w:right="-1" w:hanging="0"/>
        <w:contextualSpacing/>
        <w:jc w:val="both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Об утверждении Муниципальной программы «Энергосбережение и повышение энергетической эффективности Вышнедеревенского сельсовета Льговского района Курской области на период 2023-2025 годы»</w:t>
      </w:r>
    </w:p>
    <w:p>
      <w:pPr>
        <w:pStyle w:val="Default"/>
        <w:jc w:val="both"/>
        <w:rPr>
          <w:rFonts w:eastAsia="MS Gothic"/>
          <w:color w:val="auto"/>
          <w:sz w:val="28"/>
          <w:szCs w:val="28"/>
        </w:rPr>
      </w:pPr>
      <w:r>
        <w:rPr>
          <w:rFonts w:eastAsia="MS Gothic"/>
          <w:color w:val="auto"/>
          <w:sz w:val="28"/>
          <w:szCs w:val="28"/>
        </w:rPr>
      </w:r>
    </w:p>
    <w:p>
      <w:pPr>
        <w:pStyle w:val="Default"/>
        <w:jc w:val="both"/>
        <w:rPr>
          <w:rFonts w:eastAsia="MS Gothic"/>
          <w:color w:val="auto"/>
          <w:sz w:val="28"/>
          <w:szCs w:val="28"/>
        </w:rPr>
      </w:pPr>
      <w:r>
        <w:rPr>
          <w:rFonts w:eastAsia="MS Gothic"/>
          <w:color w:val="auto"/>
          <w:sz w:val="28"/>
          <w:szCs w:val="28"/>
        </w:rPr>
        <w:t>В соответствии с Федеральным законом от 23 ноября 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(в редакции от 29.07.2016г.)</w:t>
      </w:r>
    </w:p>
    <w:p>
      <w:pPr>
        <w:pStyle w:val="Default"/>
        <w:jc w:val="both"/>
        <w:rPr>
          <w:rFonts w:eastAsia="MS Gothic"/>
          <w:color w:val="auto"/>
          <w:sz w:val="28"/>
          <w:szCs w:val="28"/>
        </w:rPr>
      </w:pPr>
      <w:r>
        <w:rPr>
          <w:rFonts w:eastAsia="MS Gothic"/>
          <w:color w:val="auto"/>
          <w:sz w:val="28"/>
          <w:szCs w:val="28"/>
        </w:rPr>
        <w:t>- Постановление Правительства РФ от 11.02.2021 г. № 161 «Об  утверждении требований к региональным и муниципальным программам в области энергосбережения и повышения энергетической эффективности и о принятии утратившим силу некоторых актов Правительства Российской Федерации и отдельных  положений некоторых актов Правительства Российской Федерации»:</w:t>
        <w:br/>
        <w:t>-Приказ Минэкономразвития России от 28.04.2021 г № 231 « Об утверждении методики 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энергоэффективности.</w:t>
      </w:r>
    </w:p>
    <w:p>
      <w:pPr>
        <w:pStyle w:val="Default"/>
        <w:jc w:val="both"/>
        <w:rPr>
          <w:rFonts w:eastAsia="MS Gothic"/>
          <w:color w:val="auto"/>
          <w:sz w:val="28"/>
          <w:szCs w:val="28"/>
        </w:rPr>
      </w:pPr>
      <w:r>
        <w:rPr>
          <w:rFonts w:eastAsia="MS Gothic"/>
          <w:color w:val="auto"/>
          <w:sz w:val="28"/>
          <w:szCs w:val="28"/>
        </w:rPr>
        <w:t>Администрация Вышнедеревенского сельсовета ПОСТАНОВЛЯЕТ:</w:t>
      </w:r>
    </w:p>
    <w:p>
      <w:pPr>
        <w:pStyle w:val="1"/>
        <w:shd w:val="clear" w:color="auto" w:fill="auto"/>
        <w:tabs>
          <w:tab w:val="clear" w:pos="708"/>
          <w:tab w:val="left" w:pos="9355" w:leader="none"/>
        </w:tabs>
        <w:spacing w:lineRule="auto" w:line="240" w:before="0" w:after="0"/>
        <w:ind w:left="23" w:right="-1" w:hanging="0"/>
        <w:contextualSpacing/>
        <w:rPr/>
      </w:pPr>
      <w:r>
        <w:rPr/>
      </w:r>
    </w:p>
    <w:p>
      <w:pPr>
        <w:pStyle w:val="1"/>
        <w:shd w:val="clear" w:color="auto" w:fill="auto"/>
        <w:tabs>
          <w:tab w:val="clear" w:pos="708"/>
          <w:tab w:val="left" w:pos="9355" w:leader="none"/>
        </w:tabs>
        <w:spacing w:lineRule="auto" w:line="240" w:before="0" w:after="0"/>
        <w:ind w:left="23" w:right="-1" w:hanging="0"/>
        <w:contextualSpacing/>
        <w:rPr/>
      </w:pPr>
      <w:r>
        <w:rPr/>
      </w:r>
    </w:p>
    <w:p>
      <w:pPr>
        <w:pStyle w:val="1"/>
        <w:numPr>
          <w:ilvl w:val="0"/>
          <w:numId w:val="9"/>
        </w:numPr>
        <w:shd w:val="clear" w:color="auto" w:fill="auto"/>
        <w:spacing w:lineRule="exact" w:line="324" w:before="0" w:after="300"/>
        <w:ind w:left="0"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Утвердить Муниципальную программу «Энергоснабжения и повышения энергетической эффективности Вышнедеревенского сельсовета Льговского района Курской области на период 2023-2025 годы.</w:t>
      </w:r>
    </w:p>
    <w:p>
      <w:pPr>
        <w:pStyle w:val="1"/>
        <w:numPr>
          <w:ilvl w:val="0"/>
          <w:numId w:val="7"/>
        </w:numPr>
        <w:shd w:val="clear" w:color="auto" w:fill="auto"/>
        <w:spacing w:lineRule="exact" w:line="324" w:before="0" w:after="300"/>
        <w:ind w:left="0"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Начальнику отдела администрации Вышнедеревенского сельсовета Льговского района Желницкой Л.В. предусмотреть в бюджете МО «Вышнедеревенского сельсовета» Льговского района Курской области необходимые финансовые средства определенные программой. </w:t>
      </w:r>
    </w:p>
    <w:p>
      <w:pPr>
        <w:pStyle w:val="1"/>
        <w:numPr>
          <w:ilvl w:val="0"/>
          <w:numId w:val="7"/>
        </w:numPr>
        <w:shd w:val="clear" w:color="auto" w:fill="auto"/>
        <w:tabs>
          <w:tab w:val="clear" w:pos="708"/>
          <w:tab w:val="left" w:pos="9355" w:leader="none"/>
        </w:tabs>
        <w:spacing w:lineRule="auto" w:line="240" w:before="0" w:after="0"/>
        <w:ind w:left="1211" w:right="-1" w:hanging="360"/>
        <w:contextualSpacing/>
        <w:jc w:val="both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sz w:val="24"/>
          <w:szCs w:val="24"/>
        </w:rPr>
        <w:t xml:space="preserve">Постановление Администрации Вышнедеревенского сельсовета Льговского района Курской области от 16.03.2021 года № 19 Об утверждении Муниципальной программы «Энергосбережение и повышение энергетической </w:t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>эффективности Вышнедеревенского сельсовета Льговского района Курской области на период 2021-2023 годы», считать утратившим силу.</w:t>
      </w:r>
    </w:p>
    <w:p>
      <w:pPr>
        <w:pStyle w:val="1"/>
        <w:shd w:val="clear" w:color="auto" w:fill="auto"/>
        <w:spacing w:lineRule="exact" w:line="324" w:before="0" w:after="300"/>
        <w:ind w:left="851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1"/>
        <w:numPr>
          <w:ilvl w:val="0"/>
          <w:numId w:val="7"/>
        </w:numPr>
        <w:shd w:val="clear" w:color="auto" w:fill="auto"/>
        <w:spacing w:lineRule="exact" w:line="324" w:before="0" w:after="300"/>
        <w:ind w:left="0"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Контроль за исполнением настоящее постановления   оставляю за</w:t>
        <w:br/>
        <w:t xml:space="preserve">                      собой. </w:t>
      </w:r>
    </w:p>
    <w:p>
      <w:pPr>
        <w:pStyle w:val="1"/>
        <w:numPr>
          <w:ilvl w:val="0"/>
          <w:numId w:val="7"/>
        </w:numPr>
        <w:shd w:val="clear" w:color="auto" w:fill="auto"/>
        <w:spacing w:lineRule="exact" w:line="324" w:before="0" w:after="300"/>
        <w:ind w:left="0"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Постановление вступает в силу со дня его подписания. </w:t>
      </w:r>
    </w:p>
    <w:p>
      <w:pPr>
        <w:pStyle w:val="1"/>
        <w:shd w:val="clear" w:color="auto" w:fill="auto"/>
        <w:spacing w:lineRule="exact" w:line="324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1"/>
        <w:shd w:val="clear" w:color="auto" w:fill="auto"/>
        <w:spacing w:lineRule="exact" w:line="324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1"/>
        <w:shd w:val="clear" w:color="auto" w:fill="auto"/>
        <w:spacing w:lineRule="exact" w:line="324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1"/>
        <w:shd w:val="clear" w:color="auto" w:fill="auto"/>
        <w:spacing w:lineRule="exact" w:line="324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1"/>
        <w:shd w:val="clear" w:color="auto" w:fill="auto"/>
        <w:spacing w:lineRule="exact" w:line="324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Глава Вышнедеревенского сельсовета </w:t>
      </w:r>
    </w:p>
    <w:p>
      <w:pPr>
        <w:pStyle w:val="1"/>
        <w:shd w:val="clear" w:color="auto" w:fill="auto"/>
        <w:spacing w:lineRule="exact" w:line="324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Льговского района                                                                   Н.В. Карамышева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a3"/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70"/>
        <w:gridCol w:w="4784"/>
      </w:tblGrid>
      <w:tr>
        <w:trPr/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Разработчик: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Федеральное государственное бюджетное образовательное учреждение высшего образования «Юго-западный государственный университет»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Начальник УНИ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____________А.Н. Горлов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«___» ________ 2022 г.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Заказчик: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Администрация Вышнедеревенского сельсовета Льговского района Курской области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Глава администрации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_____________Н.В. Карамышева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«___» ________ 2022 г.</w:t>
            </w:r>
          </w:p>
        </w:tc>
      </w:tr>
      <w:tr>
        <w:trPr/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en-US" w:bidi="ar-SA"/>
              </w:rPr>
              <w:t>МУНИЦИПАЛЬНАЯ ПРОГРАММА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en-US" w:bidi="ar-SA"/>
              </w:rPr>
              <w:t>«Энергосбережение и повышение энергетической эффективности Вышнедеревенского сельсовета Льговского района Курской области на период 2023-2025 годы»</w:t>
            </w:r>
          </w:p>
        </w:tc>
      </w:tr>
      <w:tr>
        <w:trPr/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Курск 2022 г.</w:t>
            </w:r>
          </w:p>
        </w:tc>
      </w:tr>
    </w:tbl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СОДЕРЖАНИЕ</w:t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Style w:val="a3"/>
        <w:tblW w:w="8906" w:type="dxa"/>
        <w:jc w:val="left"/>
        <w:tblInd w:w="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11"/>
        <w:gridCol w:w="3094"/>
      </w:tblGrid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Наименование раздела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Номер страницы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Паспорт программы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Общие сведения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Основания для разработки муниципальной программы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Общая характеристика текущего состояния сферы деятельности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Приоритеты и цели муниципальной программы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Прогноз ожидаемых результатов при реализации предлагаемых мероприятий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Финансовое обеспечение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Мониторинг результатов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Существующие риски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Система управления реализацией программы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Методика оценки эффективности реализации программы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448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Методика оценки эффективности реализации программы</w:t>
            </w:r>
          </w:p>
          <w:p>
            <w:pPr>
              <w:pStyle w:val="Normal"/>
              <w:widowControl/>
              <w:tabs>
                <w:tab w:val="clear" w:pos="708"/>
                <w:tab w:val="left" w:pos="3448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Заключение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</w:tr>
      <w:tr>
        <w:trPr/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93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Приложения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23-33</w:t>
            </w:r>
          </w:p>
        </w:tc>
      </w:tr>
    </w:tbl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sectPr>
          <w:footerReference w:type="default" r:id="rId2"/>
          <w:type w:val="nextPage"/>
          <w:pgSz w:w="11906" w:h="16838"/>
          <w:pgMar w:left="1134" w:right="1134" w:header="0" w:top="1134" w:footer="709" w:bottom="1134" w:gutter="0"/>
          <w:pgNumType w:start="0" w:fmt="decimal"/>
          <w:formProt w:val="false"/>
          <w:titlePg/>
          <w:textDirection w:val="lrTb"/>
          <w:docGrid w:type="default" w:linePitch="360" w:charSpace="4096"/>
        </w:sect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ПАСПОРТ</w:t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муниципальной программы</w:t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«Электроснабжение и повышение энергетической эффективности Вышнедеревенского сельсовета Льговского района на период </w:t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2023-2025 годы»</w:t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8"/>
        <w:gridCol w:w="5806"/>
      </w:tblGrid>
      <w:tr>
        <w:trPr>
          <w:trHeight w:val="641" w:hRule="atLeast"/>
        </w:trPr>
        <w:tc>
          <w:tcPr>
            <w:tcW w:w="3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Ответственный исполнитель муниципальной программы</w:t>
            </w:r>
          </w:p>
        </w:tc>
        <w:tc>
          <w:tcPr>
            <w:tcW w:w="58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Администрация муниципального образования Вышнедеревенский сельсовет Льговского района</w:t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Соисполнители муниципальной программы</w:t>
            </w:r>
          </w:p>
        </w:tc>
        <w:tc>
          <w:tcPr>
            <w:tcW w:w="58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Отсутствует</w:t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Перечень подпрограмм</w:t>
            </w:r>
          </w:p>
        </w:tc>
        <w:tc>
          <w:tcPr>
            <w:tcW w:w="580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284" w:hanging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Отсутствует</w:t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Цели муниципальной программы</w:t>
            </w:r>
          </w:p>
        </w:tc>
        <w:tc>
          <w:tcPr>
            <w:tcW w:w="5806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Создание организационных основ для реализации системы мер по энергосбережению и повышению энергоэффективности; 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Снижение показателей энергоемкости и энергопотребления учреждений, предприятий и организаций</w:t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Задачи муниципальной программы</w:t>
            </w:r>
          </w:p>
        </w:tc>
        <w:tc>
          <w:tcPr>
            <w:tcW w:w="5806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left="317" w:hanging="36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муниципального образования;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left="317" w:hanging="283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Разработка и реализация мероприятий, направленных на энергосбережение и повышение энергетической эффективности учреждений; 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left="317" w:hanging="283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Обеспечение учета объемов потребления ТЭР и воды с использованием приборов учета.</w:t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Этапы и сроки реализации муниципальной программы</w:t>
            </w:r>
          </w:p>
        </w:tc>
        <w:tc>
          <w:tcPr>
            <w:tcW w:w="580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284" w:hanging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2023-2025 годы</w:t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806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Всего 734,0 тыс. рублей, из них:</w:t>
            </w:r>
          </w:p>
          <w:p>
            <w:pPr>
              <w:pStyle w:val="Normal"/>
              <w:widowControl/>
              <w:spacing w:lineRule="auto" w:line="240" w:before="0" w:after="0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 объем финансирования из МО Вышнедеревенский сельсовет 110,0 тыс. рублей, в том числе:</w:t>
            </w:r>
          </w:p>
          <w:p>
            <w:pPr>
              <w:pStyle w:val="Normal"/>
              <w:widowControl/>
              <w:spacing w:lineRule="auto" w:line="240" w:before="0" w:after="0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2023 г. -  60,0 тыс. рублей;</w:t>
            </w:r>
          </w:p>
          <w:p>
            <w:pPr>
              <w:pStyle w:val="Normal"/>
              <w:widowControl/>
              <w:spacing w:lineRule="auto" w:line="240" w:before="0" w:after="0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2024 г. -  30,0 тыс. рублей;</w:t>
            </w:r>
          </w:p>
          <w:p>
            <w:pPr>
              <w:pStyle w:val="Normal"/>
              <w:widowControl/>
              <w:spacing w:lineRule="auto" w:line="240" w:before="0" w:after="0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2025 г. -  20,0 тыс. рублей</w:t>
            </w:r>
          </w:p>
        </w:tc>
      </w:tr>
      <w:tr>
        <w:trPr>
          <w:trHeight w:val="2542" w:hRule="atLeast"/>
        </w:trPr>
        <w:tc>
          <w:tcPr>
            <w:tcW w:w="3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Ожидаемые результаты реализации муниципальной программы</w:t>
            </w:r>
          </w:p>
        </w:tc>
        <w:tc>
          <w:tcPr>
            <w:tcW w:w="580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34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1.Снижение показателей энергоемкости и энергопотребления;</w:t>
            </w:r>
          </w:p>
          <w:p>
            <w:pPr>
              <w:pStyle w:val="Normal"/>
              <w:widowControl/>
              <w:spacing w:lineRule="auto" w:line="240" w:before="0" w:after="0"/>
              <w:ind w:left="34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 Повышение эффективности использования топлива и воды в секторе ЖКХ муниципального образования;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 Обеспечение учета объектов потребляемых энергетических ресурсов и воды с использованием приборов учета.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5"/>
        </w:numPr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ОБЩИЕ СВЕДЕНИЯ О </w:t>
      </w:r>
    </w:p>
    <w:p>
      <w:pPr>
        <w:pStyle w:val="ListParagraph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СЕЛЬСКОМ СОВЕТЕ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Вышнедеревенский сельсовет располагается на западе Курской области и входит в состав Льговского района Курской области.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ИНН </w:t>
      </w:r>
      <w:r>
        <w:rPr>
          <w:rFonts w:cs="Times New Roman" w:ascii="Times New Roman" w:hAnsi="Times New Roman"/>
          <w:color w:val="212529"/>
          <w:sz w:val="28"/>
          <w:szCs w:val="28"/>
          <w:shd w:fill="FFFFFF" w:val="clear"/>
        </w:rPr>
        <w:t>4613001441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КПП </w:t>
      </w:r>
      <w:r>
        <w:rPr>
          <w:rFonts w:cs="Times New Roman" w:ascii="Times New Roman" w:hAnsi="Times New Roman"/>
          <w:color w:val="212529"/>
          <w:sz w:val="28"/>
          <w:szCs w:val="28"/>
          <w:shd w:fill="FFFFFF" w:val="clear"/>
        </w:rPr>
        <w:t>461301001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ОГРН 1024600645970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Административный центр – село Вышние Деревеньки.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Адрес администрации: </w:t>
      </w:r>
      <w:r>
        <w:rPr>
          <w:rFonts w:cs="Times New Roman" w:ascii="Times New Roman" w:hAnsi="Times New Roman"/>
          <w:caps/>
          <w:color w:val="333333"/>
          <w:sz w:val="28"/>
          <w:szCs w:val="28"/>
          <w:shd w:fill="FFFFFF" w:val="clear"/>
        </w:rPr>
        <w:t>307701, К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урская область</w:t>
      </w:r>
      <w:r>
        <w:rPr>
          <w:rFonts w:cs="Times New Roman" w:ascii="Times New Roman" w:hAnsi="Times New Roman"/>
          <w:caps/>
          <w:color w:val="333333"/>
          <w:sz w:val="28"/>
          <w:szCs w:val="28"/>
          <w:shd w:fill="FFFFFF" w:val="clear"/>
        </w:rPr>
        <w:t xml:space="preserve">,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р-н </w:t>
      </w:r>
      <w:r>
        <w:rPr>
          <w:rFonts w:cs="Times New Roman" w:ascii="Times New Roman" w:hAnsi="Times New Roman"/>
          <w:caps/>
          <w:color w:val="333333"/>
          <w:sz w:val="28"/>
          <w:szCs w:val="28"/>
          <w:shd w:fill="FFFFFF" w:val="clear"/>
        </w:rPr>
        <w:t>Л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ьговский</w:t>
      </w:r>
      <w:r>
        <w:rPr>
          <w:rFonts w:cs="Times New Roman" w:ascii="Times New Roman" w:hAnsi="Times New Roman"/>
          <w:caps/>
          <w:color w:val="333333"/>
          <w:sz w:val="28"/>
          <w:szCs w:val="28"/>
          <w:shd w:fill="FFFFFF" w:val="clear"/>
        </w:rPr>
        <w:t xml:space="preserve">,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с.</w:t>
      </w:r>
      <w:r>
        <w:rPr>
          <w:rFonts w:cs="Times New Roman" w:ascii="Times New Roman" w:hAnsi="Times New Roman"/>
          <w:caps/>
          <w:color w:val="333333"/>
          <w:sz w:val="28"/>
          <w:szCs w:val="28"/>
          <w:shd w:fill="FFFFFF" w:val="clear"/>
        </w:rPr>
        <w:t xml:space="preserve"> В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ышние</w:t>
      </w:r>
      <w:r>
        <w:rPr>
          <w:rFonts w:cs="Times New Roman" w:ascii="Times New Roman" w:hAnsi="Times New Roman"/>
          <w:caps/>
          <w:color w:val="333333"/>
          <w:sz w:val="28"/>
          <w:szCs w:val="28"/>
          <w:shd w:fill="FFFFFF" w:val="clear"/>
        </w:rPr>
        <w:t xml:space="preserve"> Д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еревеньки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Телефон администрации: +7 (47140) 9-62-38.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Электронная почта: </w:t>
      </w:r>
      <w:r>
        <w:rPr>
          <w:rFonts w:cs="Times New Roman" w:ascii="Times New Roman" w:hAnsi="Times New Roman"/>
          <w:sz w:val="28"/>
          <w:szCs w:val="28"/>
          <w:lang w:val="en-US"/>
        </w:rPr>
        <w:t>vyshnederevenskii</w:t>
      </w:r>
      <w:r>
        <w:rPr>
          <w:rFonts w:cs="Times New Roman" w:ascii="Times New Roman" w:hAnsi="Times New Roman"/>
          <w:sz w:val="28"/>
          <w:szCs w:val="28"/>
        </w:rPr>
        <w:t>_</w:t>
      </w:r>
      <w:r>
        <w:rPr>
          <w:rFonts w:cs="Times New Roman" w:ascii="Times New Roman" w:hAnsi="Times New Roman"/>
          <w:sz w:val="28"/>
          <w:szCs w:val="28"/>
          <w:lang w:val="en-US"/>
        </w:rPr>
        <w:t>selsovet</w:t>
      </w:r>
      <w:r>
        <w:rPr>
          <w:rFonts w:cs="Times New Roman" w:ascii="Times New Roman" w:hAnsi="Times New Roman"/>
          <w:sz w:val="28"/>
          <w:szCs w:val="28"/>
        </w:rPr>
        <w:t>00@</w:t>
      </w:r>
      <w:r>
        <w:rPr>
          <w:rFonts w:cs="Times New Roman" w:ascii="Times New Roman" w:hAnsi="Times New Roman"/>
          <w:sz w:val="28"/>
          <w:szCs w:val="28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  <w:lang w:val="en-US"/>
        </w:rPr>
        <w:t>ru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Площадь Вышнедеревенского сельсовета составляет 286,55 км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с плотностью проживания 6,62 человека на один квадратный километр.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состав Вышнедеревенского сельсовета входят следующие населенные пункты: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</w:t>
      </w:r>
    </w:p>
    <w:tbl>
      <w:tblPr>
        <w:tblW w:w="9628" w:type="dxa"/>
        <w:jc w:val="left"/>
        <w:tblInd w:w="0" w:type="dxa"/>
        <w:tblLayout w:type="fixed"/>
        <w:tblCellMar>
          <w:top w:w="48" w:type="dxa"/>
          <w:left w:w="96" w:type="dxa"/>
          <w:bottom w:w="48" w:type="dxa"/>
          <w:right w:w="315" w:type="dxa"/>
        </w:tblCellMar>
        <w:tblLook w:firstRow="1" w:noVBand="1" w:lastRow="0" w:firstColumn="1" w:lastColumn="0" w:noHBand="0" w:val="04a0"/>
      </w:tblPr>
      <w:tblGrid>
        <w:gridCol w:w="652"/>
        <w:gridCol w:w="5972"/>
        <w:gridCol w:w="3004"/>
      </w:tblGrid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Населённый пункт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Тип населённого пункта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Александровка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Анастасьевка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Арсеньевка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Беженцев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хутор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Большая Орловка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Букреево-Бобрик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Булгаковка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Васильевка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Веселая Поляна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хутор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Волжин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хутор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Вышние Деревеньки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</w:rPr>
              <w:t>село, </w:t>
            </w:r>
            <w:r>
              <w:rPr>
                <w:rStyle w:val="Nowrap"/>
                <w:rFonts w:cs="Times New Roman" w:ascii="Times New Roman" w:hAnsi="Times New Roman"/>
                <w:color w:val="202122"/>
                <w:sz w:val="24"/>
                <w:szCs w:val="24"/>
              </w:rPr>
              <w:t>административный центр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Деревеньки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Поселок при станции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Дурово-Бобрик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</w:rPr>
              <w:t>село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Дьяковка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Екатериновка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Красная Новь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Кромские Быки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</w:rPr>
              <w:t>село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Левшинка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  <w:shd w:fill="FFFFFF" w:val="clear"/>
              </w:rPr>
              <w:t>Левшинка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</w:rPr>
              <w:t>село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Любомировка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Малеевка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</w:rPr>
              <w:t>село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Милютино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Семеновка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Стремоухово-Бобрик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</w:rPr>
              <w:t>село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Цуканово-Бобрик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</w:rPr>
              <w:t>село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Черемошки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</w:rPr>
              <w:t>село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Шапошниково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202122"/>
                <w:sz w:val="24"/>
                <w:szCs w:val="24"/>
                <w:shd w:fill="FFFFFF" w:val="clear"/>
              </w:rPr>
              <w:t>деревня</w:t>
            </w:r>
          </w:p>
        </w:tc>
      </w:tr>
      <w:tr>
        <w:trPr/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Яблоновый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96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поселок</w:t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муниципального образования Вышнедеревенский сельсовет развито только производство сельскохозяйственной продукции. В сельскохозяйственном секторе муниципального образования действуют агропредприятия и фермерские хозяйства. Отсутствие промышленных предприятий и использование в сельскохозяйственном секторе высокоэффективных методов ведения земледелия не способствует созданию новых рабочих мест, в связи с чем на территории Вышнедеревенского сельсовета сокращается число проживающих: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2010 – 2552 человек;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2021 – 1896 человек.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  <w:t>Сельский совет имеет централизованное электроснабжение, газифицирован.  Водоснабжение осуществляется водонапорными башнями и колодцами  и находится в ведении МУП «Льговское  ЖКХ».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5"/>
        </w:numPr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ОСНОВАНИЯ ДЛЯ РАЗРАБОТКИ МУНИЦИПАЛЬНОЙ ПРОГРАММЫ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 разработана в рамках действующего законодательства: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ФЗ от 23.11.2009г. №261-ФЗ «Об энергосбережении и о повышении энергетической эффективности и о внесении изменений в отдельные законодательные акты РФ (в ред. от 29.07.2016 г.);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Постановление Правительства РФ от 11.02.2021 г.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Приказ Минэкономразвития России от 28.04.2021 г.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энергоэффективности.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Распоряжение Администрации Курской области от 03.02.2022 г. № 53-ра «Об организации Администрацией Курской области работы по реализации государственной политики в сфере энергосбережения и повышения энергоэффективности»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714" w:hanging="357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ОБЩАЯ ХАРАКТЕРИСТИКА ТЕКУЩЕГО СОСТОЯНИЯ СФЕРЫ ДЕЯТЕЛЬНОСТИ МУНИЦИПАЛЬНОГО ОБРАЗОВАНИЯ, В РАМКАХ КОТОРОЙ РЕАЛИЗУЕТСЯ ПРОГРАММА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границах Вышнедеревенского сельсовета вопросы электроснабжения и газоснабжения отнесены к полномочиям Льговского муниципального района.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сельского совета находятся в пользовании и находящиеся в собственности Вышнедеревенского сельсовета здания и сооружения.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2</w:t>
      </w:r>
    </w:p>
    <w:tbl>
      <w:tblPr>
        <w:tblStyle w:val="a3"/>
        <w:tblW w:w="9345" w:type="dxa"/>
        <w:jc w:val="left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3"/>
        <w:gridCol w:w="3265"/>
        <w:gridCol w:w="1639"/>
        <w:gridCol w:w="1869"/>
        <w:gridCol w:w="1869"/>
      </w:tblGrid>
      <w:tr>
        <w:trPr/>
        <w:tc>
          <w:tcPr>
            <w:tcW w:w="70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32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Наименование зданий и сооружений</w:t>
            </w:r>
          </w:p>
        </w:tc>
        <w:tc>
          <w:tcPr>
            <w:tcW w:w="1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Год постройки</w:t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Ограждающие конструкции (кирпичные, ж/б панели)</w:t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Площадь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32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Здание администрации Вышнедеревенского сельсовета</w:t>
            </w:r>
          </w:p>
        </w:tc>
        <w:tc>
          <w:tcPr>
            <w:tcW w:w="1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1978</w:t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192,8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32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«Вышнедеревенский СДК» Льговского района Курской области (филиал МКУК «Кром-Быковский ЦСДК»)</w:t>
            </w:r>
          </w:p>
        </w:tc>
        <w:tc>
          <w:tcPr>
            <w:tcW w:w="1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1975</w:t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340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32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«Малеевский СДК» Льговского района Курской области (филиал МКУК «Кром-Быковский ЦСДК»)</w:t>
            </w:r>
          </w:p>
        </w:tc>
        <w:tc>
          <w:tcPr>
            <w:tcW w:w="1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1967</w:t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32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«Кром-Быковский ЦСДК» Льговского района Курской области</w:t>
            </w:r>
          </w:p>
        </w:tc>
        <w:tc>
          <w:tcPr>
            <w:tcW w:w="1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1964</w:t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32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«Цуканово-Бобрикский СДК» Льговского района Курской области (филиал МКУК «Кром-Быковский ЦСДК»)</w:t>
            </w:r>
          </w:p>
        </w:tc>
        <w:tc>
          <w:tcPr>
            <w:tcW w:w="1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1994</w:t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380</w:t>
            </w:r>
          </w:p>
        </w:tc>
      </w:tr>
      <w:tr>
        <w:trPr>
          <w:trHeight w:val="321" w:hRule="atLeast"/>
        </w:trPr>
        <w:tc>
          <w:tcPr>
            <w:tcW w:w="7476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Итого</w:t>
            </w:r>
          </w:p>
        </w:tc>
        <w:tc>
          <w:tcPr>
            <w:tcW w:w="1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1272,8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Рассматриваются здания, подлежащие анализу по снижению потребления ТЭР согласно приказа Минэкономразвития России от 15 июля 2020 года № 425 «Об утверждении 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3 - Сведения об объемах потребления ТЭР и воды объектами муниципальной собственности Вышнедеревенского сельсовета в 2021 году</w:t>
      </w:r>
    </w:p>
    <w:tbl>
      <w:tblPr>
        <w:tblStyle w:val="a3"/>
        <w:tblW w:w="9500" w:type="dxa"/>
        <w:jc w:val="left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4"/>
        <w:gridCol w:w="2129"/>
        <w:gridCol w:w="1271"/>
        <w:gridCol w:w="1280"/>
        <w:gridCol w:w="1193"/>
        <w:gridCol w:w="1017"/>
        <w:gridCol w:w="1019"/>
        <w:gridCol w:w="1019"/>
        <w:gridCol w:w="7"/>
      </w:tblGrid>
      <w:tr>
        <w:trPr/>
        <w:tc>
          <w:tcPr>
            <w:tcW w:w="564" w:type="dxa"/>
            <w:vMerge w:val="restart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2129" w:type="dxa"/>
            <w:vMerge w:val="restart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Наименование зданий и сооружений</w:t>
            </w:r>
          </w:p>
        </w:tc>
        <w:tc>
          <w:tcPr>
            <w:tcW w:w="6806" w:type="dxa"/>
            <w:gridSpan w:val="7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Вид ТЭР</w:t>
            </w:r>
          </w:p>
        </w:tc>
      </w:tr>
      <w:tr>
        <w:trPr>
          <w:trHeight w:val="1633" w:hRule="atLeast"/>
          <w:cantSplit w:val="true"/>
        </w:trPr>
        <w:tc>
          <w:tcPr>
            <w:tcW w:w="564" w:type="dxa"/>
            <w:vMerge w:val="continue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9" w:type="dxa"/>
            <w:vMerge w:val="continue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1" w:type="dxa"/>
            <w:tcBorders/>
            <w:textDirection w:val="btLr"/>
          </w:tcPr>
          <w:p>
            <w:pPr>
              <w:pStyle w:val="ListParagraph"/>
              <w:widowControl/>
              <w:spacing w:lineRule="auto" w:line="240" w:before="0" w:after="0"/>
              <w:ind w:left="113" w:right="113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Электрическая энергия тыс. кВт*час</w:t>
            </w:r>
          </w:p>
        </w:tc>
        <w:tc>
          <w:tcPr>
            <w:tcW w:w="1280" w:type="dxa"/>
            <w:tcBorders/>
            <w:textDirection w:val="btLr"/>
          </w:tcPr>
          <w:p>
            <w:pPr>
              <w:pStyle w:val="ListParagraph"/>
              <w:widowControl/>
              <w:spacing w:lineRule="auto" w:line="240" w:before="0" w:after="0"/>
              <w:ind w:left="113" w:right="113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Газ</w:t>
            </w:r>
          </w:p>
          <w:p>
            <w:pPr>
              <w:pStyle w:val="ListParagraph"/>
              <w:widowControl/>
              <w:spacing w:lineRule="auto" w:line="240" w:before="0" w:after="0"/>
              <w:ind w:left="113" w:right="113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Тыс.м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1193" w:type="dxa"/>
            <w:tcBorders/>
            <w:textDirection w:val="btLr"/>
          </w:tcPr>
          <w:p>
            <w:pPr>
              <w:pStyle w:val="ListParagraph"/>
              <w:widowControl/>
              <w:spacing w:lineRule="auto" w:line="240" w:before="0" w:after="0"/>
              <w:ind w:left="113" w:right="113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Вода, м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1017" w:type="dxa"/>
            <w:tcBorders/>
            <w:textDirection w:val="btLr"/>
          </w:tcPr>
          <w:p>
            <w:pPr>
              <w:pStyle w:val="ListParagraph"/>
              <w:widowControl/>
              <w:spacing w:lineRule="auto" w:line="240" w:before="0" w:after="0"/>
              <w:ind w:left="113" w:right="113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Уголь, т</w:t>
            </w:r>
          </w:p>
        </w:tc>
        <w:tc>
          <w:tcPr>
            <w:tcW w:w="1019" w:type="dxa"/>
            <w:tcBorders/>
            <w:textDirection w:val="btLr"/>
          </w:tcPr>
          <w:p>
            <w:pPr>
              <w:pStyle w:val="ListParagraph"/>
              <w:widowControl/>
              <w:spacing w:lineRule="auto" w:line="240" w:before="0" w:after="0"/>
              <w:ind w:left="113" w:right="113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Мазут, т</w:t>
            </w:r>
          </w:p>
        </w:tc>
        <w:tc>
          <w:tcPr>
            <w:tcW w:w="1019" w:type="dxa"/>
            <w:tcBorders/>
            <w:textDirection w:val="btLr"/>
          </w:tcPr>
          <w:p>
            <w:pPr>
              <w:pStyle w:val="ListParagraph"/>
              <w:widowControl/>
              <w:spacing w:lineRule="auto" w:line="240" w:before="0" w:after="0"/>
              <w:ind w:left="113" w:right="113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Прочее топливо, т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633" w:hRule="atLeast"/>
          <w:cantSplit w:val="true"/>
        </w:trPr>
        <w:tc>
          <w:tcPr>
            <w:tcW w:w="56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Здание администрации Вышнедеревенского сельсовета</w:t>
            </w:r>
          </w:p>
        </w:tc>
        <w:tc>
          <w:tcPr>
            <w:tcW w:w="127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1,5</w:t>
            </w:r>
          </w:p>
        </w:tc>
        <w:tc>
          <w:tcPr>
            <w:tcW w:w="1280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4,4</w:t>
            </w:r>
          </w:p>
        </w:tc>
        <w:tc>
          <w:tcPr>
            <w:tcW w:w="119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«Вышнедеревенский СДК» Льговского района Курской области (филиал МКУК «Кром-Быковский ЦСДК»)</w:t>
            </w:r>
          </w:p>
        </w:tc>
        <w:tc>
          <w:tcPr>
            <w:tcW w:w="127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1,3</w:t>
            </w:r>
          </w:p>
        </w:tc>
        <w:tc>
          <w:tcPr>
            <w:tcW w:w="1280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9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«Малеевский СДК» Льговского района Курской области (филиал МКУК «Кром-Быковский ЦСДК»)</w:t>
            </w:r>
          </w:p>
        </w:tc>
        <w:tc>
          <w:tcPr>
            <w:tcW w:w="127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1,5</w:t>
            </w:r>
          </w:p>
        </w:tc>
        <w:tc>
          <w:tcPr>
            <w:tcW w:w="1280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9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«Кром-Быковский ЦСДК» Льговского района Курской области</w:t>
            </w:r>
          </w:p>
        </w:tc>
        <w:tc>
          <w:tcPr>
            <w:tcW w:w="127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3,5</w:t>
            </w:r>
          </w:p>
        </w:tc>
        <w:tc>
          <w:tcPr>
            <w:tcW w:w="1280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9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«Цуканово-Бобрикский СДК» Льговского района Курской области (филиал МКУК «Кром-Быковский ЦСДК»)</w:t>
            </w:r>
          </w:p>
        </w:tc>
        <w:tc>
          <w:tcPr>
            <w:tcW w:w="127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1,0</w:t>
            </w:r>
          </w:p>
        </w:tc>
        <w:tc>
          <w:tcPr>
            <w:tcW w:w="1280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9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2693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Всего:</w:t>
            </w:r>
          </w:p>
        </w:tc>
        <w:tc>
          <w:tcPr>
            <w:tcW w:w="127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8,8</w:t>
            </w:r>
          </w:p>
        </w:tc>
        <w:tc>
          <w:tcPr>
            <w:tcW w:w="1280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4,4</w:t>
            </w:r>
          </w:p>
        </w:tc>
        <w:tc>
          <w:tcPr>
            <w:tcW w:w="119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4 - Сведения о наличии и потребности приборов учета ТЭР и воды объектов муниципальной собственности Вышнедеревенского сельсовета</w:t>
      </w:r>
    </w:p>
    <w:tbl>
      <w:tblPr>
        <w:tblStyle w:val="a3"/>
        <w:tblW w:w="992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2"/>
        <w:gridCol w:w="2065"/>
        <w:gridCol w:w="1134"/>
        <w:gridCol w:w="991"/>
        <w:gridCol w:w="1276"/>
        <w:gridCol w:w="1276"/>
        <w:gridCol w:w="1135"/>
        <w:gridCol w:w="1562"/>
      </w:tblGrid>
      <w:tr>
        <w:trPr/>
        <w:tc>
          <w:tcPr>
            <w:tcW w:w="482" w:type="dxa"/>
            <w:vMerge w:val="restart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206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Наименование зданий и сооружений</w:t>
            </w:r>
          </w:p>
        </w:tc>
        <w:tc>
          <w:tcPr>
            <w:tcW w:w="7374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Приборы коммерческого учета</w:t>
            </w:r>
          </w:p>
        </w:tc>
      </w:tr>
      <w:tr>
        <w:trPr/>
        <w:tc>
          <w:tcPr>
            <w:tcW w:w="48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06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Электроэнергия</w:t>
            </w:r>
          </w:p>
        </w:tc>
        <w:tc>
          <w:tcPr>
            <w:tcW w:w="2552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Газ</w:t>
            </w:r>
          </w:p>
        </w:tc>
        <w:tc>
          <w:tcPr>
            <w:tcW w:w="2697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Вода</w:t>
            </w:r>
          </w:p>
        </w:tc>
      </w:tr>
      <w:tr>
        <w:trPr>
          <w:trHeight w:val="1498" w:hRule="atLeast"/>
          <w:cantSplit w:val="true"/>
        </w:trPr>
        <w:tc>
          <w:tcPr>
            <w:tcW w:w="48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06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4" w:type="dxa"/>
            <w:tcBorders/>
            <w:textDirection w:val="btL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Имеется</w:t>
            </w:r>
          </w:p>
        </w:tc>
        <w:tc>
          <w:tcPr>
            <w:tcW w:w="991" w:type="dxa"/>
            <w:tcBorders/>
            <w:textDirection w:val="btL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Отсутствует</w:t>
            </w:r>
          </w:p>
        </w:tc>
        <w:tc>
          <w:tcPr>
            <w:tcW w:w="1276" w:type="dxa"/>
            <w:tcBorders/>
            <w:textDirection w:val="btL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Имеется</w:t>
            </w:r>
          </w:p>
        </w:tc>
        <w:tc>
          <w:tcPr>
            <w:tcW w:w="1276" w:type="dxa"/>
            <w:tcBorders/>
            <w:textDirection w:val="btL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Отсутствует</w:t>
            </w:r>
          </w:p>
        </w:tc>
        <w:tc>
          <w:tcPr>
            <w:tcW w:w="1135" w:type="dxa"/>
            <w:tcBorders/>
            <w:textDirection w:val="btL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Имеется</w:t>
            </w:r>
          </w:p>
        </w:tc>
        <w:tc>
          <w:tcPr>
            <w:tcW w:w="1562" w:type="dxa"/>
            <w:tcBorders/>
            <w:textDirection w:val="btL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Отсутствует</w:t>
            </w:r>
          </w:p>
        </w:tc>
      </w:tr>
      <w:tr>
        <w:trPr/>
        <w:tc>
          <w:tcPr>
            <w:tcW w:w="4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Здание администрации Вышнедеревенского сельсовета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имеется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имеется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«Вышнедеревенский СДК» Льговского района Курской области (филиал МКУК «Кром-Быковский ЦСДК»)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имеется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«Малеевский СДК» Льговского района Курской области (филиал МКУК «Кром-Быковский ЦСДК»)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имеется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«Кром-Быковский ЦСДК» Льговского района Курской области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имеется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МКУК «Цуканово-Бобрикский СДК» Льговского района Курской области (филиал МКУК «Кром-Быковский ЦСДК»)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имеется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пределах полномочий, установленных законодательством Российской Федерации Вышнедеревенский сельсовет должен уделять особое значение доступности населения к местному ресурсу – питьевой воде, которая по качеству и стоимости услуг поставки обеспечивала бы комфортность проживания населения на территории сельсовета.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Потребление электроэнергии на уличное освещение составляет 2,1 тыс. кВ*ч, что составляет </w:t>
      </w:r>
      <w:r>
        <w:rPr>
          <w:rFonts w:eastAsia="Calibri" w:cs="Times New Roman" w:ascii="Times New Roman" w:hAnsi="Times New Roman"/>
          <w:sz w:val="28"/>
          <w:szCs w:val="28"/>
        </w:rPr>
        <w:t>25,3% от общего потребления электрической энергии.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8 Наличие транспортных средств на балансе сельского совета</w:t>
      </w:r>
    </w:p>
    <w:tbl>
      <w:tblPr>
        <w:tblStyle w:val="a3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8"/>
        <w:gridCol w:w="4252"/>
        <w:gridCol w:w="4111"/>
      </w:tblGrid>
      <w:tr>
        <w:trPr/>
        <w:tc>
          <w:tcPr>
            <w:tcW w:w="98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42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Количество и марка транспортных средств на балансе с/с. Год выпуска</w:t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Количество транспортных средств, переведенных на газ или электроэнергию и другие альтернативные виды топлива, ед.</w:t>
            </w:r>
          </w:p>
        </w:tc>
      </w:tr>
      <w:tr>
        <w:trPr/>
        <w:tc>
          <w:tcPr>
            <w:tcW w:w="98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42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ВАЗ-21213</w:t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</w:tr>
    </w:tbl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Расход топлива в пределах 11 л на 100 км, что соответствует паспортному расходу топлива в сельской местности. (Средний пробег 23,6 тыс. км, расход топлива 2600л=1,98 тн).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</w:rPr>
        <w:t>Потенциал сокращения расхода моторного топлива отсутствует.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ПРИОРИТЕТЫ И ЦЕЛИ МУНИЦИПАЛЬНОЙ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</w:rPr>
        <w:t>Приоритеты и цели, планируемые к достижению в Программе, определяются законодательными полномочиями муниципального образования и требованиями Приказа Минэкономразвития России от 28.04.2021г. №231 «</w:t>
      </w:r>
      <w:r>
        <w:rPr>
          <w:rFonts w:cs="Times New Roman" w:ascii="Times New Roman" w:hAnsi="Times New Roman"/>
          <w:color w:val="202124"/>
          <w:sz w:val="28"/>
          <w:szCs w:val="28"/>
          <w:shd w:fill="FFFFFF" w:val="clear"/>
        </w:rPr>
        <w:t xml:space="preserve">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эффективности" применительно к Вышнедеревенскому сельсовету: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202124"/>
          <w:sz w:val="28"/>
          <w:szCs w:val="28"/>
          <w:shd w:fill="FFFFFF" w:val="clear"/>
        </w:rPr>
        <w:t>- целевые показатели, характеризующие оснащенность приборами учета используемых энергоресурсов и воды;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202124"/>
          <w:sz w:val="28"/>
          <w:szCs w:val="28"/>
          <w:shd w:fill="FFFFFF" w:val="clear"/>
        </w:rPr>
        <w:t>- целевые показатели, характеризующие потребление энергетических ресурсов муниципальных организаций, находящихся в ведении сельсовета;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202124"/>
          <w:sz w:val="28"/>
          <w:szCs w:val="28"/>
          <w:shd w:fill="FFFFFF" w:val="clear"/>
        </w:rPr>
        <w:t>- целевые показатели, характеризующие использование энергетических ресурсов в жилищно-коммунальном хозяйстве.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 ПРОГНОЗ ОЖИДАЕМЫХ РЕЗУЛЬТАТОВ ПРИ РЕАЛИЗАЦИИ ПРЕДЛАГАЕМЫХ МЕРОПРИЯТИЙ, НАПРАВЛЕННЫХ НА ЭФФЕКТИВНОЕ ИСПОЛЬЗОВАНИЕ ЭНЕРГЕТИЧЕСКИХ РЕСУРСОВ И ВОДЫ НА ТЕРРИТОРИИ СЕЛЬСОВЕТА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(анализ, выводы, предложения)</w:t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5.1. Анализ системы освещения</w:t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системе освещения сельского совета, домов культуры используются лампы накаливания, в системе уличного освещения люминесцентные светильники ДРЛ-250.</w:t>
      </w:r>
    </w:p>
    <w:p>
      <w:pPr>
        <w:pStyle w:val="Normal"/>
        <w:spacing w:lineRule="atLeast" w:line="2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Характеристика освещения приведена ниже.</w:t>
      </w:r>
    </w:p>
    <w:p>
      <w:pPr>
        <w:pStyle w:val="Normal"/>
        <w:spacing w:lineRule="atLeast" w:line="20" w:before="0" w:after="0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</w:r>
    </w:p>
    <w:tbl>
      <w:tblPr>
        <w:tblW w:w="9804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5"/>
        <w:gridCol w:w="2414"/>
        <w:gridCol w:w="1233"/>
        <w:gridCol w:w="1467"/>
        <w:gridCol w:w="1271"/>
        <w:gridCol w:w="1102"/>
        <w:gridCol w:w="1711"/>
      </w:tblGrid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№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Тип светильника и лампочки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Колич-во светильников (лампочек)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Мощность на светильнике (лампочке)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Число часов работы в год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Суммарн. мощность,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кВт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Потребл. энергия в год,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кВт/час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Сельсовет –лампы накаливания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750,0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Дома культуры-суммарно</w:t>
            </w:r>
          </w:p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 xml:space="preserve">Лампы накаливания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2250,0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2-ДРЛ250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2120,0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5120,0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46,1 тыс. руб</w:t>
            </w:r>
          </w:p>
        </w:tc>
      </w:tr>
    </w:tbl>
    <w:p>
      <w:pPr>
        <w:pStyle w:val="Normal"/>
        <w:spacing w:lineRule="atLeast" w:line="2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Модернизация системы освещения за счет полного перехода на светодиодные лампы и светильники позволяет значительно снизить объем потребляемой электрической энергии. Характеристика системы освещения на светодиодной основе приведена ниже.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9804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5"/>
        <w:gridCol w:w="2882"/>
        <w:gridCol w:w="1410"/>
        <w:gridCol w:w="1270"/>
        <w:gridCol w:w="826"/>
        <w:gridCol w:w="1101"/>
        <w:gridCol w:w="1709"/>
      </w:tblGrid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№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Тип светильника и лампочки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Колич-во светильников (лампочек)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Мощность на светильнике (лампочке)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Вт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Число часов работы в год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Суммарн. мощность,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кВт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Потребл. энергия в год,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кВт/час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Сельсовет –замена  на светодиодные светильники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Дома культуры-суммарно</w:t>
            </w:r>
          </w:p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Замена на светодиодные лампы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450,0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Уличное освещение, замена на светодиодные лампы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2ед.-Е40-90 Вт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800,0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1400,0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12,6 тыс. руб.</w:t>
            </w:r>
          </w:p>
        </w:tc>
      </w:tr>
    </w:tbl>
    <w:p>
      <w:pPr>
        <w:pStyle w:val="Normal"/>
        <w:spacing w:lineRule="atLeast" w:line="2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Годовая экономия электрической энергии при полном переходе на светодиодные светильники составляет 3,7 тыс. кВтч, экономический эффект 33,5 тыс. руб.</w:t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Потенциал снижения потребления электрической энергии -3,7 тыс. кВтч.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Рекомендуемый вариант перевода светильников ДРЛ-250 – замена люминесцентных ламп на светодиодные Е40-90 Вт с отключением элементов ПРА.</w:t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системе освещения сельского совета, домов культуры используются лампы накаливания, в системе уличного освещения люминесцентные светильники ДРЛ-250. </w:t>
      </w:r>
    </w:p>
    <w:p>
      <w:pPr>
        <w:pStyle w:val="Normal"/>
        <w:spacing w:lineRule="atLeast" w:line="2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Характеристика освещения приведена ниже.</w:t>
      </w:r>
    </w:p>
    <w:p>
      <w:pPr>
        <w:pStyle w:val="Normal"/>
        <w:spacing w:lineRule="atLeast" w:line="20" w:before="0" w:after="0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</w:r>
    </w:p>
    <w:tbl>
      <w:tblPr>
        <w:tblW w:w="9804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5"/>
        <w:gridCol w:w="2414"/>
        <w:gridCol w:w="1233"/>
        <w:gridCol w:w="1467"/>
        <w:gridCol w:w="1271"/>
        <w:gridCol w:w="1102"/>
        <w:gridCol w:w="1711"/>
      </w:tblGrid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№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Тип светильника и лампочки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Колич-во светильников (лампочек)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Мощность на светильнике (лампочке)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Число часов работы в год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Суммарн. мощность,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кВт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Потребл. энергия в год,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кВт/час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Сельсовет –лампы накаливания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750,0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Дома культуры-суммарно</w:t>
            </w:r>
          </w:p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 xml:space="preserve">Лампы накаливания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2250,0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2-ДРЛ250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2120,0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5120,0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46,1 тыс. руб</w:t>
            </w:r>
          </w:p>
        </w:tc>
      </w:tr>
    </w:tbl>
    <w:p>
      <w:pPr>
        <w:pStyle w:val="Normal"/>
        <w:spacing w:lineRule="atLeast" w:line="2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Модернизация системы освещения за счет полного перехода на светодиодные лампы и светильники позволяет значительно снизить объем потребляемой электрической энергии. Характеристика системы освещения на светодиодной основе приведена ниже.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9804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5"/>
        <w:gridCol w:w="2882"/>
        <w:gridCol w:w="1410"/>
        <w:gridCol w:w="1270"/>
        <w:gridCol w:w="826"/>
        <w:gridCol w:w="1101"/>
        <w:gridCol w:w="1709"/>
      </w:tblGrid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№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Тип светильника и лампочки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Колич-во светильников (лампочек)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Мощность на светильнике (лампочке)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Вт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Число часов работы в год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Суммарн. мощность,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кВт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Потребл. энергия в год,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16"/>
                <w:szCs w:val="16"/>
              </w:rPr>
              <w:t>кВт/час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Сельсовет –замена  на светодиодные светильники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Дома культуры-суммарно</w:t>
            </w:r>
          </w:p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Замена на светодиодные лампы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450,0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Уличное освещение, замена на светодиодные лампы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2ед.-Е40-90 Вт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800,0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1400,0</w:t>
            </w:r>
          </w:p>
        </w:tc>
      </w:tr>
      <w:tr>
        <w:trPr/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12,6 тыс. руб.</w:t>
            </w:r>
          </w:p>
        </w:tc>
      </w:tr>
    </w:tbl>
    <w:p>
      <w:pPr>
        <w:pStyle w:val="Normal"/>
        <w:spacing w:lineRule="atLeast" w:line="2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Годовая экономия электрической энергии при полном переходе на светодиодные светильники составляет 3,7 тыс. кВтч, экономический эффект 33,5 тыс. руб.</w:t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Потенциал снижения потребления электрической энергии -3,7 тыс. кВтч.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Рекомендуемый вариант перевода светильников ДРЛ-250 – замена люминесцентных ламп на светодиодные Е40-90 Вт с отключением элементов ПРА.</w:t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Отопление здания администрации сельсовета осуществляется котельным оборудованием, работающим на природном газе. Отопление в домах культуры сельсовета отсутствует.</w:t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Характеристика системы отопления представлена ниже.</w:t>
      </w:r>
    </w:p>
    <w:tbl>
      <w:tblPr>
        <w:tblpPr w:bottomFromText="200" w:horzAnchor="margin" w:leftFromText="180" w:rightFromText="180" w:tblpX="0" w:tblpXSpec="center" w:tblpY="231" w:topFromText="0" w:vertAnchor="text"/>
        <w:tblW w:w="100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3"/>
        <w:gridCol w:w="3294"/>
        <w:gridCol w:w="1264"/>
        <w:gridCol w:w="709"/>
        <w:gridCol w:w="710"/>
        <w:gridCol w:w="708"/>
        <w:gridCol w:w="708"/>
        <w:gridCol w:w="709"/>
        <w:gridCol w:w="710"/>
        <w:gridCol w:w="707"/>
      </w:tblGrid>
      <w:tr>
        <w:trPr>
          <w:trHeight w:val="225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2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Общие сведения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</w:tc>
      </w:tr>
      <w:tr>
        <w:trPr>
          <w:trHeight w:val="225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>
        <w:trPr>
          <w:trHeight w:val="226" w:hRule="atLeast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29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26" w:hRule="atLeast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29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6225" w:type="dxa"/>
            <w:gridSpan w:val="8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</w:tc>
      </w:tr>
      <w:tr>
        <w:trPr>
          <w:trHeight w:val="226" w:hRule="atLeast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9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Объем потребления природного газа</w:t>
            </w:r>
          </w:p>
        </w:tc>
        <w:tc>
          <w:tcPr>
            <w:tcW w:w="12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тыс.м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4,4</w:t>
            </w:r>
          </w:p>
        </w:tc>
      </w:tr>
      <w:tr>
        <w:trPr>
          <w:trHeight w:val="226" w:hRule="atLeast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9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Выработка тепловой энергии </w:t>
            </w:r>
          </w:p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КПД 0.92</w:t>
            </w:r>
          </w:p>
        </w:tc>
        <w:tc>
          <w:tcPr>
            <w:tcW w:w="12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32,3</w:t>
            </w:r>
          </w:p>
        </w:tc>
      </w:tr>
      <w:tr>
        <w:trPr>
          <w:trHeight w:val="226" w:hRule="atLeast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9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Удельный расход тепловой энергии  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137,9 м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2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Гкал/м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0,23</w:t>
            </w:r>
          </w:p>
        </w:tc>
      </w:tr>
      <w:tr>
        <w:trPr>
          <w:trHeight w:val="226" w:hRule="atLeast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9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Удельный приведенный расход тепловой энергии</w:t>
            </w:r>
          </w:p>
        </w:tc>
        <w:tc>
          <w:tcPr>
            <w:tcW w:w="12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16"/>
                <w:szCs w:val="16"/>
                <w:lang w:eastAsia="ru-RU"/>
              </w:rPr>
              <w:t>Втч/м</w:t>
            </w:r>
            <w:r>
              <w:rPr>
                <w:rFonts w:eastAsia="Times New Roman" w:ascii="Times New Roman" w:hAnsi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r>
              <w:rPr>
                <w:rFonts w:eastAsia="Times New Roman" w:ascii="Times New Roman" w:hAnsi="Times New Roman"/>
                <w:b/>
                <w:sz w:val="16"/>
                <w:szCs w:val="16"/>
                <w:lang w:eastAsia="ru-RU"/>
              </w:rPr>
              <w:t>х</w:t>
            </w:r>
            <w:r>
              <w:rPr>
                <w:rFonts w:eastAsia="Times New Roman" w:ascii="Times New Roman" w:hAnsi="Times New Roman"/>
                <w:b/>
                <w:sz w:val="16"/>
                <w:szCs w:val="16"/>
                <w:vertAlign w:val="superscript"/>
                <w:lang w:eastAsia="ru-RU"/>
              </w:rPr>
              <w:t>0</w:t>
            </w:r>
            <w:r>
              <w:rPr>
                <w:rFonts w:eastAsia="Times New Roman" w:ascii="Times New Roman" w:hAnsi="Times New Roman"/>
                <w:b/>
                <w:sz w:val="16"/>
                <w:szCs w:val="16"/>
                <w:lang w:eastAsia="ru-RU"/>
              </w:rPr>
              <w:t>Схсутки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</w:tr>
    </w:tbl>
    <w:p>
      <w:pPr>
        <w:pStyle w:val="Normal"/>
        <w:spacing w:lineRule="atLeast" w:line="2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</w:rPr>
        <w:t>Удельный расход тепловой энергии составляет 0,23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Гкал/м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, здание сельсовета построено в 1978 году, стены деревянные, наружная отделка –кирпич, окна пластиковые. Экспертная оценка удельного потребления тепловой энергии 0,17 Гкал/м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Возможно снижение потребления природного газа на отопление до уровня 2900 м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  <w:lang w:eastAsia="ru-RU"/>
        </w:rPr>
        <w:t>3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за счет дополнительного утепления узких мест и регулирования подачи теплоносителя (котельное оборудование).</w:t>
      </w:r>
    </w:p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        </w:t>
      </w:r>
      <w:r>
        <w:rPr>
          <w:rFonts w:eastAsia="Calibri" w:cs="Times New Roman" w:ascii="Times New Roman" w:hAnsi="Times New Roman"/>
          <w:sz w:val="28"/>
          <w:szCs w:val="28"/>
        </w:rPr>
        <w:t>Расчет показателей потребления тепловой энергии выполнен с учетом требований Методики, но без применения калькулятора,  с учетом фактических показателей отопительного периода для г. Курска. (фактические значения градусосуток 3520,   в калькуляторе заложены среднестатистические 3032).</w:t>
      </w:r>
    </w:p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         </w:t>
      </w:r>
      <w:r>
        <w:rPr>
          <w:rFonts w:eastAsia="Calibri" w:cs="Times New Roman" w:ascii="Times New Roman" w:hAnsi="Times New Roman"/>
          <w:sz w:val="28"/>
          <w:szCs w:val="28"/>
        </w:rPr>
        <w:t>Снижение потребления тепловой энергии обеспечивается дополнительным утеплением узких мест в здании и регулированием  котельного оборудования (наиболее эффективно в начале и  при завершении отопительного сезона при  положительных  температурах наружного воздуха).</w:t>
      </w:r>
    </w:p>
    <w:tbl>
      <w:tblPr>
        <w:tblW w:w="10207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9"/>
        <w:gridCol w:w="994"/>
        <w:gridCol w:w="1274"/>
        <w:gridCol w:w="994"/>
        <w:gridCol w:w="850"/>
        <w:gridCol w:w="1134"/>
        <w:gridCol w:w="1276"/>
        <w:gridCol w:w="1274"/>
      </w:tblGrid>
      <w:tr>
        <w:trPr>
          <w:trHeight w:val="973" w:hRule="atLeast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Удельное годовое значение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Уровень высокой эффективности (справочно)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Целевой уровень экономии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Целевой уровень снижения </w:t>
              <w:br/>
              <w:t>2021г.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Целевой уровень снижения </w:t>
              <w:br/>
              <w:t>2022г.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Целевой уровень снижения </w:t>
              <w:br/>
              <w:t>2023г.</w:t>
            </w:r>
          </w:p>
        </w:tc>
      </w:tr>
      <w:tr>
        <w:trPr>
          <w:trHeight w:val="548" w:hRule="atLeast"/>
        </w:trPr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Потребление тепловой энергии на отопление и вентиляцию, Втч/м2/ГСОП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52,19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44%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49,0</w:t>
            </w:r>
          </w:p>
        </w:tc>
      </w:tr>
      <w:tr>
        <w:trPr>
          <w:trHeight w:val="530" w:hRule="atLeast"/>
        </w:trPr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Плановое удельное  потребление тепловой энергии. </w:t>
            </w:r>
          </w:p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Гкал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  <w:t>137,9м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vertAlign w:val="superscript"/>
                <w:lang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0,172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0,169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0,165</w:t>
            </w:r>
          </w:p>
        </w:tc>
      </w:tr>
      <w:tr>
        <w:trPr>
          <w:trHeight w:val="626" w:hRule="atLeast"/>
        </w:trPr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Плановое потребление тепловой энергии, Гкал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  <w:t>22,8</w:t>
            </w:r>
          </w:p>
        </w:tc>
      </w:tr>
      <w:tr>
        <w:trPr>
          <w:trHeight w:val="530" w:hRule="atLeast"/>
        </w:trPr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Плановое потребление  природного газа, м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2940,0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2884,0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000000" w:fill="42B3AA" w:val="clear"/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2822,0</w:t>
            </w:r>
          </w:p>
        </w:tc>
      </w:tr>
    </w:tbl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Вывод: </w:t>
      </w:r>
      <w:r>
        <w:rPr>
          <w:rFonts w:eastAsia="Calibri" w:cs="Times New Roman" w:ascii="Times New Roman" w:hAnsi="Times New Roman"/>
          <w:sz w:val="28"/>
          <w:szCs w:val="28"/>
        </w:rPr>
        <w:t>планируемое снижение потребления природного газа на период 2021-2023 годы  1500 м</w:t>
      </w:r>
      <w:r>
        <w:rPr>
          <w:rFonts w:eastAsia="Calibri"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eastAsia="Calibri" w:cs="Times New Roman" w:ascii="Times New Roman" w:hAnsi="Times New Roman"/>
          <w:sz w:val="28"/>
          <w:szCs w:val="28"/>
        </w:rPr>
        <w:t>.</w:t>
      </w:r>
    </w:p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Вышнедеревенский СДК</w:t>
      </w:r>
    </w:p>
    <w:tbl>
      <w:tblPr>
        <w:tblW w:w="10490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75"/>
        <w:gridCol w:w="1134"/>
        <w:gridCol w:w="1277"/>
        <w:gridCol w:w="1275"/>
        <w:gridCol w:w="1134"/>
        <w:gridCol w:w="1417"/>
        <w:gridCol w:w="1419"/>
        <w:gridCol w:w="1557"/>
      </w:tblGrid>
      <w:tr>
        <w:trPr>
          <w:trHeight w:val="1362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Удельное годовое значение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Уровень высокой эффективности (справочно)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экономии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снижения 2023г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снижения 2024г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снижения 2025г</w:t>
            </w:r>
          </w:p>
        </w:tc>
      </w:tr>
      <w:tr>
        <w:trPr>
          <w:trHeight w:val="795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Потребление электрической энергии, кВтч/м2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3,82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Здание эффективно. Требование не устанавливается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Здание эффективно. Требование не устанавливается</w:t>
            </w:r>
          </w:p>
        </w:tc>
        <w:tc>
          <w:tcPr>
            <w:tcW w:w="15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Здание эффективно. Требование не устанавливается</w:t>
            </w:r>
          </w:p>
        </w:tc>
      </w:tr>
    </w:tbl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jc w:val="center"/>
        <w:rPr>
          <w:rFonts w:ascii="Times New Roman" w:hAnsi="Times New Roman" w:eastAsia="Times New Roman" w:cs="Times New Roman"/>
          <w:b/>
          <w:b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b/>
          <w:sz w:val="18"/>
          <w:szCs w:val="18"/>
          <w:lang w:eastAsia="ru-RU"/>
        </w:rPr>
      </w:r>
    </w:p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Малеевский СДК</w:t>
      </w:r>
    </w:p>
    <w:tbl>
      <w:tblPr>
        <w:tblW w:w="10490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18"/>
        <w:gridCol w:w="991"/>
        <w:gridCol w:w="1134"/>
        <w:gridCol w:w="1134"/>
        <w:gridCol w:w="1418"/>
        <w:gridCol w:w="1417"/>
        <w:gridCol w:w="1560"/>
        <w:gridCol w:w="1416"/>
      </w:tblGrid>
      <w:tr>
        <w:trPr>
          <w:trHeight w:val="1362" w:hRule="atLeast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Удельное годовое значение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Уровень высокой эффективности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экономии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снижения 2023г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снижения 2024г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снижения 2025г</w:t>
            </w:r>
          </w:p>
        </w:tc>
      </w:tr>
      <w:tr>
        <w:trPr>
          <w:trHeight w:val="795" w:hRule="atLeast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Потребление электрической энергии, кВтч/м2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8,33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Здание эффективно. Требование не устанавливается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Здание эффективно. Требование не устанавливается</w:t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Здание эффективно. Требование не устанавливается</w:t>
            </w:r>
          </w:p>
        </w:tc>
      </w:tr>
    </w:tbl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rPr>
          <w:rFonts w:ascii="Times New Roman" w:hAnsi="Times New Roman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Кром-Быковский ЦСДК-  </w:t>
      </w:r>
    </w:p>
    <w:tbl>
      <w:tblPr>
        <w:tblW w:w="10490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59"/>
        <w:gridCol w:w="850"/>
        <w:gridCol w:w="1134"/>
        <w:gridCol w:w="1134"/>
        <w:gridCol w:w="1418"/>
        <w:gridCol w:w="1417"/>
        <w:gridCol w:w="1560"/>
        <w:gridCol w:w="1416"/>
      </w:tblGrid>
      <w:tr>
        <w:trPr>
          <w:trHeight w:val="1362" w:hRule="atLeast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Удельное годовое значение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Уровень высокой эффективности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экономии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снижения 2023г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снижения 2024г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Целевой уровень снижения 2025г</w:t>
            </w:r>
          </w:p>
        </w:tc>
      </w:tr>
      <w:tr>
        <w:trPr>
          <w:trHeight w:val="795" w:hRule="atLeast"/>
        </w:trPr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кВтч/м2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8"/>
                <w:szCs w:val="18"/>
                <w:lang w:eastAsia="ru-RU"/>
              </w:rPr>
              <w:t>(180,0м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22,22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61%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17%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20,37</w:t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18,52</w:t>
            </w:r>
          </w:p>
        </w:tc>
      </w:tr>
      <w:tr>
        <w:trPr>
          <w:trHeight w:val="795" w:hRule="atLeast"/>
        </w:trPr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Плановое  потребление электрической энергии, кВтч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22,22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61%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17%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3840,0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3670,0</w:t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3340,0</w:t>
            </w:r>
          </w:p>
        </w:tc>
      </w:tr>
    </w:tbl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rPr>
          <w:rFonts w:ascii="Times New Roman" w:hAnsi="Times New Roman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p>
      <w:pPr>
        <w:pStyle w:val="Normal"/>
        <w:tabs>
          <w:tab w:val="clear" w:pos="708"/>
          <w:tab w:val="left" w:pos="3857" w:leader="none"/>
        </w:tabs>
        <w:spacing w:lineRule="atLeast" w:line="20" w:before="0" w:after="0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Цуканово-Бобрикский СДК</w:t>
      </w:r>
    </w:p>
    <w:tbl>
      <w:tblPr>
        <w:tblW w:w="10490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18"/>
        <w:gridCol w:w="991"/>
        <w:gridCol w:w="1134"/>
        <w:gridCol w:w="1134"/>
        <w:gridCol w:w="1135"/>
        <w:gridCol w:w="1560"/>
        <w:gridCol w:w="1559"/>
        <w:gridCol w:w="1557"/>
      </w:tblGrid>
      <w:tr>
        <w:trPr>
          <w:trHeight w:val="1362" w:hRule="atLeast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Удельное годовое значение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Уровень высокой эффективности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Целевой уровень экономии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Целевой уровень снижения 2023г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Целевой уровень снижения 2024г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Целевой уровень снижения 2025г</w:t>
            </w:r>
          </w:p>
        </w:tc>
      </w:tr>
      <w:tr>
        <w:trPr>
          <w:trHeight w:val="795" w:hRule="atLeast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Потребление электрической энергии, кВтч/м2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2,63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Здание эффективно. Требование не устанавливается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Здание эффективно. Требование не устанавливается</w:t>
            </w:r>
          </w:p>
        </w:tc>
        <w:tc>
          <w:tcPr>
            <w:tcW w:w="15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Здание эффективно. Требование не устанавливается</w:t>
            </w:r>
          </w:p>
        </w:tc>
      </w:tr>
    </w:tbl>
    <w:p>
      <w:pPr>
        <w:pStyle w:val="Normal"/>
        <w:spacing w:lineRule="atLeast" w:line="2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ышнедеревенский СДК,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Малеевский СДК, Цуканово-Бобрикский СДК по потреблению электрической энергии соответствуют установленным нормативам.</w:t>
      </w:r>
    </w:p>
    <w:p>
      <w:pPr>
        <w:pStyle w:val="Normal"/>
        <w:spacing w:lineRule="atLeast" w:line="2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Кром-Быковский ЦСДК рекомендуется снижение потребления электрической энергии до уровня 3400 кВтч, что возможно при переходе на светодиодное освещение.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ФИНАНСОВОЕ ОБЕСПЕЧЕНИЕ ПРОГРАММЫ</w:t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возможных дополнительных источников для финансирования программы: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 бюджетов федерального и областного уровня при участии в федеральных и областных программах.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 бюджета района Курской области;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внебюджетных средств, заложенных в регулируемые цены и тарифы;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использовании инструментов рыночной экономики – энергосервис и лизинг.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7. МОНИТОРИНГ РЕЗУЛЬТАТОВ РЕАЛИЗАЦИИ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учетом сбалансированности программы по приоритетам проведения энергосбережения и повышения энергетической эффективности с использованием целевых показателей и критериев результат реализации программы определяется по изменению динамики целевых показателей.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8. СУЩЕСТВУЮЩИЕ РИСКИ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Отсутствие средств для финансирования программы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Значительный рост цен на энергоэффективное оборудование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Выход на длительный срок коммерческих приборов учета энергоресурсов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9. СИСТЕМА УПРАВЛЕНИЯ РЕАЛИЗАЦИЕЙ ПРОГРАММЫ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Текущее управление реализацией программы осуществляет глава муниципального образования.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10. МЕТОДИКА ОЦЕНКИ ЭФФЕКТИВНОСТИ РЕАЛИЗАЦИИ МУНИЦИПАЛЬНОЙ ПРОГРАММЫ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Оценка эффективности реализации 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программой.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Эффективность реализации программы оценивается как степень фактического достижения целевого показателя по формуле: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 = П</w:t>
      </w:r>
      <w:r>
        <w:rPr>
          <w:rFonts w:cs="Times New Roman" w:ascii="Times New Roman" w:hAnsi="Times New Roman"/>
          <w:sz w:val="28"/>
          <w:szCs w:val="28"/>
          <w:vertAlign w:val="subscript"/>
        </w:rPr>
        <w:t>ф</w:t>
      </w:r>
      <w:r>
        <w:rPr>
          <w:rFonts w:cs="Times New Roman" w:ascii="Times New Roman" w:hAnsi="Times New Roman"/>
          <w:sz w:val="28"/>
          <w:szCs w:val="28"/>
        </w:rPr>
        <w:t xml:space="preserve"> / П</w:t>
      </w:r>
      <w:r>
        <w:rPr>
          <w:rFonts w:cs="Times New Roman" w:ascii="Times New Roman" w:hAnsi="Times New Roman"/>
          <w:sz w:val="28"/>
          <w:szCs w:val="28"/>
          <w:vertAlign w:val="subscript"/>
        </w:rPr>
        <w:t>н</w:t>
      </w:r>
      <w:r>
        <w:rPr>
          <w:rFonts w:cs="Times New Roman" w:ascii="Times New Roman" w:hAnsi="Times New Roman"/>
          <w:sz w:val="28"/>
          <w:szCs w:val="28"/>
        </w:rPr>
        <w:t xml:space="preserve"> х 100 %,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где П</w:t>
      </w:r>
      <w:r>
        <w:rPr>
          <w:rFonts w:cs="Times New Roman" w:ascii="Times New Roman" w:hAnsi="Times New Roman"/>
          <w:sz w:val="28"/>
          <w:szCs w:val="28"/>
          <w:vertAlign w:val="subscript"/>
        </w:rPr>
        <w:t xml:space="preserve">ф </w:t>
      </w:r>
      <w:r>
        <w:rPr>
          <w:rFonts w:cs="Times New Roman" w:ascii="Times New Roman" w:hAnsi="Times New Roman"/>
          <w:sz w:val="28"/>
          <w:szCs w:val="28"/>
        </w:rPr>
        <w:t>– фактический показатель, достигнутый в ходе реализации программы,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  <w:vertAlign w:val="subscript"/>
        </w:rPr>
        <w:t>н</w:t>
      </w:r>
      <w:r>
        <w:rPr>
          <w:rFonts w:cs="Times New Roman" w:ascii="Times New Roman" w:hAnsi="Times New Roman"/>
          <w:sz w:val="28"/>
          <w:szCs w:val="28"/>
        </w:rPr>
        <w:t xml:space="preserve"> – нормативный показатель, утвержденный программой.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 реализуется эффективно если планируемые целевые показатели выполняются на 80 % и более.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11. ЗАКЛЮЧЕНИЕ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Муниципальная программа Вышнедеревенского сельсовета предусматривает: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организацию учета и контроля по рациональному использованию, нормированию и лимитированию энергоресурсов и воды;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реализацию потенциала энергосбережения в зданиях сельсовета;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реализацию мероприятий по определению фактической электроемкости воды в системах водоснабжения сельского совета и пути ее уменьшения.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footerReference w:type="default" r:id="rId3"/>
          <w:type w:val="nextPage"/>
          <w:pgSz w:w="11906" w:h="16838"/>
          <w:pgMar w:left="1134" w:right="1134" w:header="0" w:top="1134" w:footer="709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Таблица 12 Объем средств и мероприятия по энергосбережению, финансируемы из бюджета Вышнедеревенского сельсовета.</w:t>
      </w:r>
    </w:p>
    <w:tbl>
      <w:tblPr>
        <w:tblStyle w:val="a3"/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2"/>
        <w:gridCol w:w="4820"/>
        <w:gridCol w:w="2151"/>
        <w:gridCol w:w="1643"/>
        <w:gridCol w:w="1644"/>
        <w:gridCol w:w="1643"/>
        <w:gridCol w:w="1642"/>
      </w:tblGrid>
      <w:tr>
        <w:trPr/>
        <w:tc>
          <w:tcPr>
            <w:tcW w:w="12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</w:tc>
        <w:tc>
          <w:tcPr>
            <w:tcW w:w="482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Наименование мероприятий</w:t>
            </w:r>
          </w:p>
        </w:tc>
        <w:tc>
          <w:tcPr>
            <w:tcW w:w="215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Ответственный исполнитель</w:t>
            </w:r>
          </w:p>
        </w:tc>
        <w:tc>
          <w:tcPr>
            <w:tcW w:w="6572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Выделяемый объем средств для реализации программы (тыс. руб.)</w:t>
            </w:r>
          </w:p>
        </w:tc>
      </w:tr>
      <w:tr>
        <w:trPr>
          <w:trHeight w:val="654" w:hRule="atLeast"/>
        </w:trPr>
        <w:tc>
          <w:tcPr>
            <w:tcW w:w="12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ind w:left="1070" w:hanging="0"/>
              <w:contextualSpacing/>
              <w:jc w:val="left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2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5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2023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2024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2025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Всего</w:t>
            </w:r>
          </w:p>
        </w:tc>
      </w:tr>
      <w:tr>
        <w:trPr/>
        <w:tc>
          <w:tcPr>
            <w:tcW w:w="14785" w:type="dxa"/>
            <w:gridSpan w:val="7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Организационные мероприятия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Принятие муниципального нормативного правового акта в сфере энергосбережения</w:t>
            </w:r>
          </w:p>
        </w:tc>
        <w:tc>
          <w:tcPr>
            <w:tcW w:w="21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Глава сельсовета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Обучение по подготовке и повышению квалификации специалиста в области энергосбережения</w:t>
            </w:r>
          </w:p>
        </w:tc>
        <w:tc>
          <w:tcPr>
            <w:tcW w:w="21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Глава сельсовета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5,0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5,0</w:t>
            </w:r>
          </w:p>
        </w:tc>
      </w:tr>
      <w:tr>
        <w:trPr/>
        <w:tc>
          <w:tcPr>
            <w:tcW w:w="8213" w:type="dxa"/>
            <w:gridSpan w:val="3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Всего</w:t>
            </w:r>
          </w:p>
        </w:tc>
        <w:tc>
          <w:tcPr>
            <w:tcW w:w="6572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5,0</w:t>
            </w:r>
          </w:p>
        </w:tc>
      </w:tr>
      <w:tr>
        <w:trPr/>
        <w:tc>
          <w:tcPr>
            <w:tcW w:w="14785" w:type="dxa"/>
            <w:gridSpan w:val="7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Технические и технологические мероприятия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Модернизация внутреннего и уличного освещения (переход на светодиодные светильники)</w:t>
            </w:r>
          </w:p>
        </w:tc>
        <w:tc>
          <w:tcPr>
            <w:tcW w:w="21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Администрация сельсовета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5,0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6,0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Разработка сметной документации на ремонт водопроводных колодцев и установку приборов учета воды для скважин</w:t>
            </w:r>
          </w:p>
        </w:tc>
        <w:tc>
          <w:tcPr>
            <w:tcW w:w="21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Администрация сельсовета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27,0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27,0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Снижение потребления  природного газа (доп. утепление, регулирование подачи теплоносителя)</w:t>
            </w:r>
          </w:p>
        </w:tc>
        <w:tc>
          <w:tcPr>
            <w:tcW w:w="21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Администрация сельсовета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8213" w:type="dxa"/>
            <w:gridSpan w:val="3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Всего</w:t>
            </w:r>
          </w:p>
        </w:tc>
        <w:tc>
          <w:tcPr>
            <w:tcW w:w="6572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38,0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Таблица 14 - Целевые показатели Вышнедеревенского сельсовета Льговского района в области энергосбережения и повышения энергетической эффективности</w:t>
      </w:r>
    </w:p>
    <w:tbl>
      <w:tblPr>
        <w:tblStyle w:val="a3"/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2"/>
        <w:gridCol w:w="5061"/>
        <w:gridCol w:w="1910"/>
        <w:gridCol w:w="1643"/>
        <w:gridCol w:w="1644"/>
        <w:gridCol w:w="1643"/>
        <w:gridCol w:w="1642"/>
      </w:tblGrid>
      <w:tr>
        <w:trPr/>
        <w:tc>
          <w:tcPr>
            <w:tcW w:w="1242" w:type="dxa"/>
            <w:vMerge w:val="restart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</w:tc>
        <w:tc>
          <w:tcPr>
            <w:tcW w:w="506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Наименование показателя</w:t>
            </w:r>
          </w:p>
        </w:tc>
        <w:tc>
          <w:tcPr>
            <w:tcW w:w="191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Единица измерения</w:t>
            </w:r>
          </w:p>
        </w:tc>
        <w:tc>
          <w:tcPr>
            <w:tcW w:w="6572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Значения показателей по годам</w:t>
            </w:r>
          </w:p>
        </w:tc>
      </w:tr>
      <w:tr>
        <w:trPr/>
        <w:tc>
          <w:tcPr>
            <w:tcW w:w="1242" w:type="dxa"/>
            <w:vMerge w:val="continue"/>
            <w:tcBorders/>
          </w:tcPr>
          <w:p>
            <w:pPr>
              <w:pStyle w:val="ListParagraph"/>
              <w:widowControl/>
              <w:spacing w:lineRule="auto" w:line="240" w:before="0" w:after="0"/>
              <w:ind w:left="107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50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1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2021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2023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2024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2025</w:t>
            </w:r>
          </w:p>
        </w:tc>
      </w:tr>
      <w:tr>
        <w:trPr/>
        <w:tc>
          <w:tcPr>
            <w:tcW w:w="1242" w:type="dxa"/>
            <w:vMerge w:val="continue"/>
            <w:tcBorders/>
          </w:tcPr>
          <w:p>
            <w:pPr>
              <w:pStyle w:val="ListParagraph"/>
              <w:widowControl/>
              <w:spacing w:lineRule="auto" w:line="240" w:before="0" w:after="0"/>
              <w:ind w:left="107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50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1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факт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план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план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план</w:t>
            </w:r>
          </w:p>
        </w:tc>
      </w:tr>
      <w:tr>
        <w:trPr/>
        <w:tc>
          <w:tcPr>
            <w:tcW w:w="14785" w:type="dxa"/>
            <w:gridSpan w:val="7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Целевые показатели, характеризующие оснащенность приборами учета используемых энергетических ресурсов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142"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50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 на территории муниципального образования</w:t>
            </w:r>
          </w:p>
        </w:tc>
        <w:tc>
          <w:tcPr>
            <w:tcW w:w="19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%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142"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50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Доля потребляемой муниципальными учреждениями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электрической энергии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, приобретаемой по приборам учета, в общем объеме потребляемой электрической энергии муниципальными учреждениями на территории муниципального образования</w:t>
            </w:r>
          </w:p>
        </w:tc>
        <w:tc>
          <w:tcPr>
            <w:tcW w:w="19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%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</w:tr>
      <w:tr>
        <w:trPr/>
        <w:tc>
          <w:tcPr>
            <w:tcW w:w="14785" w:type="dxa"/>
            <w:gridSpan w:val="7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Целевые показатели, характеризующие потребление энергетических ресурсов муниципальных учреждений на территории муниципального образования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426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50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Удельный расход тепловой энергии зданиями и помещениями муниципальных организаций, находящихся в ведении органов муниципального образования</w:t>
            </w:r>
          </w:p>
        </w:tc>
        <w:tc>
          <w:tcPr>
            <w:tcW w:w="19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f>
                  <m:num>
                    <m:r>
                      <w:rPr>
                        <w:rFonts w:ascii="Cambria Math" w:hAnsi="Cambria Math"/>
                      </w:rPr>
                      <m:t xml:space="preserve">Гкал</m:t>
                    </m:r>
                  </m:num>
                  <m:den>
                    <m:sSup>
                      <m:e>
                        <m:r>
                          <w:rPr>
                            <w:rFonts w:ascii="Cambria Math" w:hAnsi="Cambria Math"/>
                          </w:rPr>
                          <m:t xml:space="preserve">м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0,172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0,172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0,169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0,165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426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50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Удельный расход электрической энергии зданиями и помещениями муниципальных организаций, находящихся в ведении органов муниципального образования</w:t>
            </w:r>
          </w:p>
        </w:tc>
        <w:tc>
          <w:tcPr>
            <w:tcW w:w="19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f>
                  <m:num>
                    <m:r>
                      <w:rPr>
                        <w:rFonts w:ascii="Cambria Math" w:hAnsi="Cambria Math"/>
                      </w:rPr>
                      <m:t xml:space="preserve">кВт</m:t>
                    </m:r>
                    <m:r>
                      <w:rPr>
                        <w:rFonts w:ascii="Cambria Math" w:hAnsi="Cambria Math"/>
                      </w:rPr>
                      <m:t xml:space="preserve">×</m:t>
                    </m:r>
                    <m:r>
                      <w:rPr>
                        <w:rFonts w:ascii="Cambria Math" w:hAnsi="Cambria Math"/>
                      </w:rPr>
                      <m:t xml:space="preserve">час</m:t>
                    </m:r>
                  </m:num>
                  <m:den>
                    <m:sSup>
                      <m:e>
                        <m:r>
                          <w:rPr>
                            <w:rFonts w:ascii="Cambria Math" w:hAnsi="Cambria Math"/>
                          </w:rPr>
                          <m:t xml:space="preserve">м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21,3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21,30</w:t>
            </w:r>
          </w:p>
        </w:tc>
        <w:tc>
          <w:tcPr>
            <w:tcW w:w="1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20,37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18,52</w:t>
            </w:r>
          </w:p>
        </w:tc>
      </w:tr>
    </w:tbl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Приложение 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lang w:eastAsia="ru-RU"/>
        </w:rPr>
        <w:t>Перечень основных мероприятий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lang w:eastAsia="ru-RU"/>
        </w:rPr>
      </w:r>
    </w:p>
    <w:tbl>
      <w:tblPr>
        <w:tblW w:w="14848" w:type="dxa"/>
        <w:jc w:val="left"/>
        <w:tblInd w:w="-2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66"/>
        <w:gridCol w:w="4269"/>
        <w:gridCol w:w="1938"/>
        <w:gridCol w:w="1594"/>
        <w:gridCol w:w="1595"/>
        <w:gridCol w:w="1596"/>
        <w:gridCol w:w="1595"/>
        <w:gridCol w:w="1593"/>
      </w:tblGrid>
      <w:tr>
        <w:trPr>
          <w:trHeight w:val="276" w:hRule="atLeast"/>
        </w:trPr>
        <w:tc>
          <w:tcPr>
            <w:tcW w:w="666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4269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Наименование основного мероприятия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38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596" w:type="dxa"/>
            <w:tcBorders>
              <w:top w:val="single" w:sz="4" w:space="0" w:color="836967"/>
              <w:left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lang w:eastAsia="ru-RU"/>
              </w:rPr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lang w:eastAsia="ru-RU"/>
              </w:rPr>
            </w:r>
          </w:p>
        </w:tc>
        <w:tc>
          <w:tcPr>
            <w:tcW w:w="1593" w:type="dxa"/>
            <w:tcBorders>
              <w:top w:val="single" w:sz="4" w:space="0" w:color="836967"/>
              <w:left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lang w:eastAsia="ru-RU"/>
              </w:rPr>
            </w:r>
          </w:p>
        </w:tc>
      </w:tr>
      <w:tr>
        <w:trPr>
          <w:trHeight w:val="207" w:hRule="atLeast"/>
        </w:trPr>
        <w:tc>
          <w:tcPr>
            <w:tcW w:w="666" w:type="dxa"/>
            <w:vMerge w:val="continue"/>
            <w:tcBorders>
              <w:left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  <w:tc>
          <w:tcPr>
            <w:tcW w:w="4269" w:type="dxa"/>
            <w:vMerge w:val="continue"/>
            <w:tcBorders>
              <w:left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  <w:tc>
          <w:tcPr>
            <w:tcW w:w="1938" w:type="dxa"/>
            <w:vMerge w:val="continue"/>
            <w:tcBorders>
              <w:left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  <w:tc>
          <w:tcPr>
            <w:tcW w:w="3189" w:type="dxa"/>
            <w:gridSpan w:val="2"/>
            <w:vMerge w:val="continue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  <w:tc>
          <w:tcPr>
            <w:tcW w:w="1596" w:type="dxa"/>
            <w:vMerge w:val="restart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1595" w:type="dxa"/>
            <w:vMerge w:val="restart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  <w:t>Последствия нереализации основного мероприятия</w:t>
            </w:r>
          </w:p>
        </w:tc>
        <w:tc>
          <w:tcPr>
            <w:tcW w:w="1593" w:type="dxa"/>
            <w:vMerge w:val="restart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  <w:t>Связь с показателями муниципальной программы</w:t>
            </w:r>
          </w:p>
        </w:tc>
      </w:tr>
      <w:tr>
        <w:trPr/>
        <w:tc>
          <w:tcPr>
            <w:tcW w:w="666" w:type="dxa"/>
            <w:vMerge w:val="continue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  <w:tc>
          <w:tcPr>
            <w:tcW w:w="4269" w:type="dxa"/>
            <w:vMerge w:val="continue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  <w:tc>
          <w:tcPr>
            <w:tcW w:w="1938" w:type="dxa"/>
            <w:vMerge w:val="continue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  <w:tc>
          <w:tcPr>
            <w:tcW w:w="15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  <w:t>начала реализации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  <w:t>окончания реализации</w:t>
            </w:r>
          </w:p>
        </w:tc>
        <w:tc>
          <w:tcPr>
            <w:tcW w:w="1596" w:type="dxa"/>
            <w:vMerge w:val="continue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  <w:tc>
          <w:tcPr>
            <w:tcW w:w="1595" w:type="dxa"/>
            <w:vMerge w:val="continue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  <w:tc>
          <w:tcPr>
            <w:tcW w:w="1593" w:type="dxa"/>
            <w:vMerge w:val="continue"/>
            <w:tcBorders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</w:r>
          </w:p>
        </w:tc>
      </w:tr>
      <w:tr>
        <w:trPr/>
        <w:tc>
          <w:tcPr>
            <w:tcW w:w="66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lang w:eastAsia="ru-RU"/>
              </w:rPr>
              <w:t>1</w:t>
            </w:r>
          </w:p>
        </w:tc>
        <w:tc>
          <w:tcPr>
            <w:tcW w:w="4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eastAsia="ru-RU"/>
              </w:rPr>
              <w:t>2</w:t>
            </w:r>
          </w:p>
        </w:tc>
        <w:tc>
          <w:tcPr>
            <w:tcW w:w="19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eastAsia="ru-RU"/>
              </w:rPr>
              <w:t>6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eastAsia="ru-RU"/>
              </w:rPr>
              <w:t>7</w:t>
            </w:r>
          </w:p>
        </w:tc>
        <w:tc>
          <w:tcPr>
            <w:tcW w:w="159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eastAsia="ru-RU"/>
              </w:rPr>
              <w:t>8</w:t>
            </w:r>
          </w:p>
        </w:tc>
      </w:tr>
      <w:tr>
        <w:trPr/>
        <w:tc>
          <w:tcPr>
            <w:tcW w:w="66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Модернизация внутреннего и уличного освещения (переход на светодиодные светильники)</w:t>
            </w:r>
          </w:p>
        </w:tc>
        <w:tc>
          <w:tcPr>
            <w:tcW w:w="19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Администрация сельсовета</w:t>
            </w:r>
          </w:p>
        </w:tc>
        <w:tc>
          <w:tcPr>
            <w:tcW w:w="15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59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снижение удельного расхода электрической энергии в системе уличного освещения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неэффективное использование электрической энергии в системе уличного освещения, не выполнение СНИП 23-05-2010 (СП 323.1325800.2017)</w:t>
            </w:r>
          </w:p>
        </w:tc>
        <w:tc>
          <w:tcPr>
            <w:tcW w:w="159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>
        <w:trPr/>
        <w:tc>
          <w:tcPr>
            <w:tcW w:w="66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Разработка сметной документации на ремонт  водопроводных колодцев и установку приборов учета воды для скважин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Администрация сельсовета</w:t>
            </w:r>
          </w:p>
        </w:tc>
        <w:tc>
          <w:tcPr>
            <w:tcW w:w="15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159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снижение удельного расхода потребления электроэнергии на добычу воды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59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>
        <w:trPr/>
        <w:tc>
          <w:tcPr>
            <w:tcW w:w="66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Обучение по подготовке и повышению квалификации специалиста в области энергосбережения</w:t>
            </w:r>
          </w:p>
        </w:tc>
        <w:tc>
          <w:tcPr>
            <w:tcW w:w="19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Администрация сельсовета</w:t>
            </w:r>
          </w:p>
        </w:tc>
        <w:tc>
          <w:tcPr>
            <w:tcW w:w="15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159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59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1-21</w:t>
            </w:r>
          </w:p>
        </w:tc>
      </w:tr>
      <w:tr>
        <w:trPr/>
        <w:tc>
          <w:tcPr>
            <w:tcW w:w="66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Снижение потребления  природного газа (доп. утепление, регулирование подачи теплоносителя)</w:t>
            </w:r>
          </w:p>
        </w:tc>
        <w:tc>
          <w:tcPr>
            <w:tcW w:w="19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Администрация сельсовета</w:t>
            </w:r>
          </w:p>
        </w:tc>
        <w:tc>
          <w:tcPr>
            <w:tcW w:w="15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159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определение объемов потребления воды</w:t>
            </w:r>
          </w:p>
        </w:tc>
        <w:tc>
          <w:tcPr>
            <w:tcW w:w="15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59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</w:tbl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8505" w:right="-112" w:hanging="0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Приложение 2</w:t>
      </w:r>
    </w:p>
    <w:p>
      <w:pPr>
        <w:pStyle w:val="Normal"/>
        <w:spacing w:lineRule="auto" w:line="240" w:before="0" w:after="0"/>
        <w:ind w:left="8505" w:right="-112" w:hanging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 xml:space="preserve">Сведения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об основных мерах правового регулирования в сфере реализации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tbl>
      <w:tblPr>
        <w:tblW w:w="13568" w:type="dxa"/>
        <w:jc w:val="left"/>
        <w:tblInd w:w="8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34"/>
        <w:gridCol w:w="2984"/>
        <w:gridCol w:w="3252"/>
        <w:gridCol w:w="3813"/>
        <w:gridCol w:w="2985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Вид нормативного акта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Ожидаемые сроки принятия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НПА Вышнедеревенского с/с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 определении ответственного лица за энергосбережение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Глава сельсовета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2022 год</w:t>
            </w:r>
          </w:p>
        </w:tc>
      </w:tr>
    </w:tbl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16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sectPr>
      <w:footerReference w:type="default" r:id="rId4"/>
      <w:type w:val="nextPage"/>
      <w:pgSz w:orient="landscape" w:w="16838" w:h="11906"/>
      <w:pgMar w:left="1134" w:right="1134" w:header="0" w:top="1701" w:footer="709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26389515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37952998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09454725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19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7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4fc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404ce8"/>
    <w:rPr>
      <w:color w:val="0000FF"/>
      <w:u w:val="single"/>
    </w:rPr>
  </w:style>
  <w:style w:type="character" w:styleId="Nowrap" w:customStyle="1">
    <w:name w:val="nowrap"/>
    <w:basedOn w:val="DefaultParagraphFont"/>
    <w:qFormat/>
    <w:rsid w:val="00404ce8"/>
    <w:rPr/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7b24e5"/>
    <w:rPr>
      <w:rFonts w:ascii="Tahoma" w:hAnsi="Tahoma" w:cs="Tahoma"/>
      <w:sz w:val="16"/>
      <w:szCs w:val="16"/>
    </w:rPr>
  </w:style>
  <w:style w:type="character" w:styleId="Style16" w:customStyle="1">
    <w:name w:val="Верхний колонтитул Знак"/>
    <w:basedOn w:val="DefaultParagraphFont"/>
    <w:link w:val="a8"/>
    <w:uiPriority w:val="99"/>
    <w:qFormat/>
    <w:rsid w:val="000a14c2"/>
    <w:rPr/>
  </w:style>
  <w:style w:type="character" w:styleId="Style17" w:customStyle="1">
    <w:name w:val="Нижний колонтитул Знак"/>
    <w:basedOn w:val="DefaultParagraphFont"/>
    <w:link w:val="aa"/>
    <w:uiPriority w:val="99"/>
    <w:qFormat/>
    <w:rsid w:val="000a14c2"/>
    <w:rPr/>
  </w:style>
  <w:style w:type="character" w:styleId="Style18" w:customStyle="1">
    <w:name w:val="Основной текст_"/>
    <w:basedOn w:val="DefaultParagraphFont"/>
    <w:link w:val="1"/>
    <w:qFormat/>
    <w:locked/>
    <w:rsid w:val="00e70402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a736b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7b24e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9"/>
    <w:uiPriority w:val="99"/>
    <w:unhideWhenUsed/>
    <w:rsid w:val="000a14c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b"/>
    <w:uiPriority w:val="99"/>
    <w:unhideWhenUsed/>
    <w:rsid w:val="000a14c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e70402"/>
    <w:pPr>
      <w:widowControl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eastAsia="ru-RU" w:val="ru-RU" w:bidi="ar-SA"/>
    </w:rPr>
  </w:style>
  <w:style w:type="paragraph" w:styleId="1" w:customStyle="1">
    <w:name w:val="Основной текст1"/>
    <w:basedOn w:val="Normal"/>
    <w:link w:val="ac"/>
    <w:qFormat/>
    <w:rsid w:val="00e70402"/>
    <w:pPr>
      <w:shd w:val="clear" w:color="auto" w:fill="FFFFFF"/>
      <w:spacing w:lineRule="exact" w:line="377" w:before="0" w:after="120"/>
      <w:jc w:val="center"/>
    </w:pPr>
    <w:rPr>
      <w:rFonts w:ascii="Times New Roman" w:hAnsi="Times New Roman" w:eastAsia="Times New Roman" w:cs="Times New Roman"/>
      <w:sz w:val="27"/>
      <w:szCs w:val="27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a736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8F517-DB26-44B6-B035-D236D785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LibreOffice/7.1.3.2$Windows_X86_64 LibreOffice_project/47f78053abe362b9384784d31a6e56f8511eb1c1</Application>
  <AppVersion>15.0000</AppVersion>
  <Pages>20</Pages>
  <Words>3217</Words>
  <Characters>23535</Characters>
  <CharactersWithSpaces>26123</CharactersWithSpaces>
  <Paragraphs>801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2022-09-19T08:42:00Z</dcterms:created>
  <dc:creator>User</dc:creator>
  <dc:description/>
  <dc:language>ru-RU</dc:language>
  <cp:lastModifiedBy/>
  <cp:lastPrinted>2022-05-15T14:18:00Z</cp:lastPrinted>
  <dcterms:modified xsi:type="dcterms:W3CDTF">2023-04-24T14:51:57Z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