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B87" w:rsidRDefault="00804B87" w:rsidP="00804B87">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 « г. № Об утверждении Порядка использования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и Порядка определения платы за использование земельных участков, находящихся в муниципальной собственности, для возведения гражданами гаражей, являющихся некапитальными сооружениями на территории Вышнедеревенского сельсовета Льговского района</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ПРОЕКТ</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АДМИНИСТРАЦИЯ</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ВЫШНЕДЕРЕВЕНСКОГО СЕЛЬСОВЕТА</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ЛЬГОВСКОГО РАЙОНА</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ПОСТАНОВЛЕНИЕ</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  «   г.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Порядка использования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и Порядка определения платы за использование земельных участков, находящихся в муниципальной собственности, для возведения гражданами гаражей, являющихся некапитальными сооружениями на территории Вышнедеревенского сельсовета Льговского района</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пунктом 19 статьи 14  Федерального закона «Об общих принципах организации местного самоуправления в Российской Федерации» от 06.10.2003 № 131-ФЗ, со статьей 39.36-1 Земельного кодекса Российской Федерации, руководствуясь Уставом муниципального образования Вышнедеревенский сельсовет» Льговского района Курской области, Администрация Вышнедеревенского сельсовета Льговского района   </w:t>
      </w:r>
      <w:r>
        <w:rPr>
          <w:rStyle w:val="a4"/>
          <w:rFonts w:ascii="Tahoma" w:hAnsi="Tahoma" w:cs="Tahoma"/>
          <w:color w:val="000000"/>
          <w:sz w:val="18"/>
          <w:szCs w:val="18"/>
        </w:rPr>
        <w:t>ПОСТАНОВЛЯЕТ:</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Порядок использования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территории Вышнедеревенского сельсовета Льговского района.</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Утвердить Порядок определения платы за использование земельных участков, находящихся в муниципальной собственности, для возведения гражданами гаражей, являющихся некапитальными сооружениями на территории Вышнедеревенского сельсовета Льговского района.</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Утвердить форму схемы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территории Вышнедеревенского сельсовета Льговского района.</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Контроль за исполнением настоящего постановления оставляю за  собой.</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Постановление вступает в силу со дня его подписания   и подлежит размещению на официальном сайте муниципального образования «Вышнедеревенский сельсовет» Льговского района Курской области в информационно-коммуникационной  сети Интернет.</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Вышнедеревенского сельсовета</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Льговского района                                                                            Н.В.Карамышева</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Вышнедеревенского сельсовета</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Льговского района</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  « г. №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 утверждении Порядка использования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Настоящий Порядок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территории Вышнедеревенского сельсовета  Льговского района (далее – Порядок)  разработан в соответствии со статьей 39.36–1 Земельного кодекса Российской Федерации и устанавливает процедуру разработки и утверждения схемы размещения гаражей, являющихся некапитальными сооружениями (далее по тексту – «некапитальные гаражи») либо для стоянки технических или других средств передвижения инвалидов вблизи их места жительства (далее – «стоянка средства передвижения инвалидов»), на землях или земельных участках, находящихся в государственной или муниципальной собственности (далее – земельные участки) без предоставления земельных участков и установления сервитута, публичного сервитута (далее – «схема размещения»), порядок использования гражданами земельных участков для размещения некапитальных гаражей либо для стоянки средств передвижения инвалидов.</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Схема размещения разрабатывается и утверждается муниципальным правовым актом органа местного самоуправления (далее – «уполномоченный орган»):</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муниципального района в отношении земельных участков, расположенных в границах сельского поселения, входящего в состав этого муниципального района, за исключением случая, предусмотренного в подпункте </w:t>
      </w:r>
      <w:hyperlink r:id="rId5" w:anchor="sub_10034" w:history="1">
        <w:r>
          <w:rPr>
            <w:rStyle w:val="a5"/>
            <w:rFonts w:ascii="Tahoma" w:hAnsi="Tahoma" w:cs="Tahoma"/>
            <w:color w:val="33A6E3"/>
            <w:sz w:val="18"/>
            <w:szCs w:val="18"/>
          </w:rPr>
          <w:t>«</w:t>
        </w:r>
      </w:hyperlink>
      <w:r>
        <w:rPr>
          <w:rFonts w:ascii="Tahoma" w:hAnsi="Tahoma" w:cs="Tahoma"/>
          <w:color w:val="000000"/>
          <w:sz w:val="18"/>
          <w:szCs w:val="18"/>
        </w:rPr>
        <w:t>2» настоящего пункта;</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сельского поселения в отношении земельных участков, находящихся в собственности сельских поселений.</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Разработка схемы размещения осуществляется с учетом требований земельного законодательства, законодательства о градостроительной деятельности, о пожарной безопасности, законодательства в области охраны окружающей среды, в области охраны и использования особо охраняемых природных территорий, в области обеспечения санитарно-эпидемиологического благополучия населения и иных требований законодательства Российской Федерации.</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Размещение некапитальных гаражей либо средств передвижения инвалидов не должно препятствовать свободному перемещению пешеходов и транспорта, ограничивать видимость участников дорожного движения, создавать угрозу жизни и здоровью людей, окружающей среде, а также нарушать требования пожарной безопасности.</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Разработка схемы размещения осуществляется уполномоченными органами на основании результатов инвентаризации, проводимой в порядке, установленном муниципальным правовым актом.</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Предложения о включении в схему размещения формируются уполномоченным органом с учетом результатов инвентаризации, сведений Единого государственного  реестра недвижимости, предложений физических лиц, исполнительных органов государственной власти и органов местного самоуправления, в том числе уполномоченных на предоставление земельных участков. Предложение о включении земельных участков в схему размещения должно содержать место размещения на картографической основе в масштабе, обеспечивающем читаемость графической информации.</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Включение в схему размещения осуществляется уполномоченным органом по согласованию с федеральным органом исполнительной власти или органом исполнительной власти субъекта Российской Федерации, осуществляющими полномочия собственника земельных участков, в том числе полномочия по предоставлению земельных участков, находящихся в границах муниципального образования, государственная собственность на которые не разграничена, на которых планируется размещение некапитальных гаражей либо стоянки средств передвижения инвалидов, путем направления в их адрес проекта схемы размещения, содержащей сведения, предусмотренные в пункте 9 Порядка.</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Земельные участки не подлежат включению в схему размещения в случаях, если:</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 начаты работы по предоставлению на торгах либо без проведения торгов земельного участка, на котором планируется размещение некапитальных гаражей либо стоянки средств передвижения инвалидов, в том числе поданы заявления о заключении соглашения об установлении сервитута, публичного сервитута, о заключении соглашения о перераспределении земельных участков, о выдаче разрешения на использование земель или земельного участка, находящихся в государственной или муниципальной собственности, имеются решения о проведении аукциона, об </w:t>
      </w:r>
      <w:r>
        <w:rPr>
          <w:rFonts w:ascii="Tahoma" w:hAnsi="Tahoma" w:cs="Tahoma"/>
          <w:color w:val="000000"/>
          <w:sz w:val="18"/>
          <w:szCs w:val="18"/>
        </w:rPr>
        <w:lastRenderedPageBreak/>
        <w:t>утверждении схемы расположения земельного участка, о предварительном согласовании предоставления земельного участка или предварительном согласовании места размещения объекта, заключено соглашение об установлении сервитута, публичного сервитута, в отношении земельного участка, имеется согласие на заключение соглашения о перераспределении земельных участков;</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земельный участок (часть земельного участка), находящийся в государственной или муниципальной собственности, на котором планируется размещение некапитальных гаражей либо стоянки средств передвижения инвалидов, предоставлен физическому или юридическому лицу в соответствии с земельным законодательством;</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наличие ранее принятого решения о согласовании размещения объекта на земельных участках, на которых планируется размещение некапитальных гаражей либо стоянки средств передвижения инвалидов, срок действия которого не истек;</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размещение некапитальных гаражей либо стоянки средств передвижения инвалидов не допускается в соответствии с документами территориального планирования, документацией по планировке территории и иными нормативными правовыми актами;</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наличие судебного разбирательства в отношении земельного участка, на котором планируется размещение некапитальных гаражей либо стоянки средств передвижения инвалидов, расположенных на нем зданий, сооружений, и (или) судебного разбирательства о границах и (или) площади смежных с ним земельных участков;</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нахождение земельного участка (части земельного участка) в границах зон градостроительных ограничений и иных территорий, в которых в соответствии с действующим законодательством не допускается и (или) ограничивается размещение некапитальных гаражей либо стоянки средств передвижения инвалидов (за исключением зон с особыми условиями использования территории);</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нахождение земельного участка (части земельного участка) в границах зон с особыми условиями использования территорий, установленные ограничения использования земельных участков в которых не допускают использование участка для размещения некапитальных гаражей либо стоянки средств передвижения инвалидов;</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расположение земельного участка или части земельного участка в границах территории общего пользования, на существующих инженерных сетях, коммуникациях, сооружениях;</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отсутствие доступа (прохода, проезда от земельных участков общего пользования) к земельному участку;</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несоблюдение требований пунктов 3 – 4 Порядка.</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Схема размещения выполняется в текстовой форме с приложением графических материалов, выполненных на картографической основе масштаба 1:500 с указанием мест размещения некапитальных гаражей либо стоянки средств передвижения инвалидов.</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В схему размещения могут быть внесены изменения в порядке, установленном для ее разработки и утверждения.</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Утвержденная уполномоченным органом схема размещения и вносимые в нее изменения подлежат опубликованию в порядке, установленном для официального опубликования муниципальных правовых актов, а также размещению на официальном сайте уполномоченного органа в информационно-телекоммуникационной сети «Интернет».</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Схема размещения может предусматривать размещение некапитальных гаражей, возведенных до дня вступления в силу Федерального закона от 05.04.2021 № 79-ФЗ «О внесении изменений в отдельные законодательные акты Российской Федерации», а также стоянок средств передвижения инвалидов, предоставленных им до дня вступления в силу Федерального закона от 05.04.2021 № 79-ФЗ «О внесении изменений в отдельные законодательные акты Российской Федерации».</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Включение в схему размещения таких некапитальных гаражей либо стоянок средств передвижения инвалидов осуществляется в соответствии с настоящим Порядком.</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Исключение из схемы размещения некапитальных гаражей либо стоянок средств передвижения инвалидов осуществляется по основаниям, указанным в пункте 8 Порядка, в том числе в следующих случаях:</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предоставление  земельного участка гражданину или юридическому лицу в соответствии с земельным законодательством;</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фактическое размещение некапитального гаража либо стоянки средства передвижения инвалидов не соответствует схеме размещения;</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размещение объекта, не соответствующего характеристикам некапитального гаража либо стоянки средства передвижения инвалидов;</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демонтаж некапитального гаража либо стоянки средств передвижения инвалидов.</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Возведение гражданами некапитальных гаражей либо стоянки средств передвижения инвалидов осуществляется в местах, определенных схемой размещения, на основании решения уполномоченного органа о согласовании места размещения некапитального гаража либо для стоянки средств передвижения инвалидов (далее – решение).</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Решение выдается на основании заявления заинтересованного лица (далее – «заявитель»), поданного в уполномоченный орган, сроком до 5 лет. Оформление решения осуществляется без взимания платы.</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Заявления о согласовании места размещения некапитального гаража либо для стоянки средств передвижения инвалидов (далее – «заявление») подаются или направляются заявителем либо его представителем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В заявлении должны быть указаны:</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фамилия, имя, отчество (при наличии), место жительства заявителя, реквизиты документа, удостоверяющего личность заявителя;</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фамилия, имя,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почтовый адрес, адрес электронной почты, номер телефона для связи с заявителем или представителем заявителя;</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принадлежность гражданина к категории граждан, обладающих правом на использование земельного участка для размещения некапитального гаража либо для стоянки средств передвижения инвалидов вблизи их места жительства;</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 цель использования;</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описание места размещения некапитального гаража либо стоянки средств передвижения инвалидов согласно схеме размещения;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способ получения решения (заказным письмом либо посредством направления электронной почтой по адресу, указанному заявителем в заявлении, либо посредством выдачи на руки заявителю или представителю заявителя);</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срок действия решения.</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К заявлению прилагаются:</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копии документов, удостоверяющих личность заявителя и представителя заявителя, и документ, подтверждающий полномочия представителя заявителя, в случае, если заявление подается представителем заявителя;</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копия документа, подтверждающего принадлежность гражданина к категории граждан, обладающих правом на использование земельного участка для размещения некапитального гаража либо для стоянки средств передвижения инвалидов вблизи их места жительства.</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документы, подтверждающие возведение некапитальных гаражей либо  предоставление мест для стоянок средств передвижения инвалидов, до дня вступления в силу Федерального закона от 05.04.2021 № 79-ФЗ «О внесении изменений в отдельные законодательные акты Российской Федерации»  в случае, если заявление подается в отношении некапитальных гаражей либо стоянок средств передвижения инвалидов, указанных в пункте 11 Порядка.</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Заявления  рассматриваются уполномоченным органом  в порядке их поступления в течение 30 дней со дня регистрации.</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на дату поступления в уполномоченный орган заявления на рассмотрении такого органа находится представленное ранее другим гражданином заявление, испрашиваемое место для размещения некапитального гаража либо для стоянки средств передвижения инвалидов в которых частично или полностью совпадают, уполномоченный орган принимает решение о приостановлении срока рассмотрения поданного позднее заявления и в течение трех рабочих дней со дня принятия решения о приостановлении направляет его заявителю.</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рассмотрения поданного позднее заявления приостанавливается до принятия решения, по ранее поступившему заявлению.</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Решение должно содержать:</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указание на лицо, в отношении которого принято такое решение;</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вид объекта, который планируется разместить;</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описание места размещения некапитального гаража либо стоянки средств передвижения инвалидов;</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срок действия решения в соответствии со сроком, установленным  пунктом 15 Порядка;</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условия использования земельного участка, предусмотренные нормативными правовыми актами муниципального образования, в том числе в сфере благоустройства;</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указание на возможность досрочного прекращения действия решения по основаниям, предусмотренным пунктом 23 Порядка;</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плату за использование;</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указание на демонтаж некапитального гаража либо стоянки средства передвижения инвалидов при окончании срока действия решения.</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В течение 10 рабочих дней со дня принятия решения уполномоченный орган направляет копию этого решения в уполномоченный орган на осуществление государственного земельного надзора.</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По истечении срока действия решения гражданин, надлежащим образом исполнявших свои обязанности по использованию земельного участка для размещения некапитального гаража либо для стоянки средства передвижения инвалидов, имеет при прочих равных условиях преимущественное право перед другими гражданами на размещение некапитальных гаражей либо для стоянки средств передвижения инвалидов на новый срок. Гражданин обязан письменно уведомить уполномоченный орган о желании продлить решение до окончания действия решения.</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В выдаче решения отказывается по основаниям, указанным в пункте 8 настоящего Порядка, в том числе в следующих случаях:</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заявление и документы к нему не соответствуют требованиям, установленным в пунктах 16 – 17 Порядка;</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заявлении указан вид объекта, не предусмотренный статьей 39.36–1 Земельного кодекса Российской Федерации;</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некапитальный гараж либо стоянка средств передвижения инвалидов не предусмотрены схемой размещения;</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случаях, предусмотренных пунктами 22, 27 Порядка.</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Действие решения прекращается по основаниям, указанным в пунктах 8, 12 Порядка, в том числе в следующих случаях:</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истечение срока действия решения, за исключением случая, указанного в пункте 22 Порядка;</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поступление в уполномоченный орган от лица, которому выдано решение, заявления о досрочном прекращении действия такого решения;</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невнесение платы за использование земельного участка, на котором размещен некапитальный гараж, в порядке, определенном решением;</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размещение на земельном участке объекта, не предусмотренного решением;</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земельный участок, на котором размещен некапитальный гараж либо стоянка средств передвижения инвалидов передан в пользование третьим лицам, либо некапитальный гараж или стоянка средств передвижения инвалидов используется не в соответствии решением.</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В случае демонтажа некапитального гаража либо стоянки средства передвижения инвалидов гражданин, получивший решение, обязан сообщить об этом в уполномоченный орган в течение 10 дней с момента его демонтажа.</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В случае, если при размещении некапитального гаража либо стоянки средства передвижения инвалидов необходимы работы, связанные с разрытием грунта или вскрытием дорожных покрытий, то они осуществляются в соответствии с муниципальным правовым актом по вопросам благоустройства территории.</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27. Преимущественное право на использование земельных участков для размещения некапитальных гаражей либо для стоянки средства передвижения инвалидов имеют граждане, использующие земельные участки по заключенным договорам аренды земельных участков, предоставленных для размещения некапитальных гаражей, стоянки средств передвижения инвалидов, заключенных до дня вступления в силу Федерального закона от 05.04.2021 № 79-ФЗ «О внесении изменений в отдельные законодательные акты Российской Федерации».</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Вышнедеревенского  сельсовета</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Льговского района</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 «   г.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определения платы за использование земельных участков, находящихся в муниципальной собственности, для возведения гражданами гаражей, являющихся некапитальными сооружениями на территории Вышнедеревенского сельсовет</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Льговского района</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Порядок определения платы за использование земельных участков, находящихся в муниципальной собственности, для возведения гражданами гаражей, являющихся некапитальными сооружениями на территории Вышнедеревенского сельсовета Льговского района  (далее - Порядок), разработан в соответствии с </w:t>
      </w:r>
      <w:hyperlink r:id="rId6" w:history="1">
        <w:r>
          <w:rPr>
            <w:rStyle w:val="a5"/>
            <w:rFonts w:ascii="Tahoma" w:hAnsi="Tahoma" w:cs="Tahoma"/>
            <w:color w:val="33A6E3"/>
            <w:sz w:val="18"/>
            <w:szCs w:val="18"/>
          </w:rPr>
          <w:t>частью 1 статьи 39.36-1</w:t>
        </w:r>
      </w:hyperlink>
      <w:r>
        <w:rPr>
          <w:rFonts w:ascii="Tahoma" w:hAnsi="Tahoma" w:cs="Tahoma"/>
          <w:color w:val="000000"/>
          <w:sz w:val="18"/>
          <w:szCs w:val="18"/>
        </w:rPr>
        <w:t> Земельного кодекса Российской Федерации, </w:t>
      </w:r>
      <w:hyperlink r:id="rId7" w:history="1">
        <w:r>
          <w:rPr>
            <w:rStyle w:val="a5"/>
            <w:rFonts w:ascii="Tahoma" w:hAnsi="Tahoma" w:cs="Tahoma"/>
            <w:color w:val="33A6E3"/>
            <w:sz w:val="18"/>
            <w:szCs w:val="18"/>
          </w:rPr>
          <w:t>статьей 5</w:t>
        </w:r>
      </w:hyperlink>
      <w:r>
        <w:rPr>
          <w:rFonts w:ascii="Tahoma" w:hAnsi="Tahoma" w:cs="Tahoma"/>
          <w:color w:val="000000"/>
          <w:sz w:val="18"/>
          <w:szCs w:val="18"/>
        </w:rPr>
        <w:t> Федерального закона от 5 апреля 2021 года N 79-ФЗ "О внесении изменений в отдельные законодательные акты Российской Федерации", Федеральным </w:t>
      </w:r>
      <w:hyperlink r:id="rId8" w:history="1">
        <w:r>
          <w:rPr>
            <w:rStyle w:val="a5"/>
            <w:rFonts w:ascii="Tahoma" w:hAnsi="Tahoma" w:cs="Tahoma"/>
            <w:color w:val="33A6E3"/>
            <w:sz w:val="18"/>
            <w:szCs w:val="18"/>
          </w:rPr>
          <w:t>законом</w:t>
        </w:r>
      </w:hyperlink>
      <w:r>
        <w:rPr>
          <w:rFonts w:ascii="Tahoma" w:hAnsi="Tahoma" w:cs="Tahoma"/>
          <w:color w:val="000000"/>
          <w:sz w:val="18"/>
          <w:szCs w:val="18"/>
        </w:rPr>
        <w:t> от 25 октября 2001 года N 137-ФЗ "О введении в действие Земельного кодекса Российской Федерации" и устанавливает способы расчета размера платы, а также условия и сроки внесения платы за использование земельных участков, находящихся в муниципальной собственности, для возведения гражданами гаражей, являющихся некапитальными сооружениями.</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Размер платы за использование земельных участков, находящихся в муниципальной собственности,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 определяется администрацией Вышнедеревенскогосельсовета  Льговского района  (далее - уполномоченный орган).</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Размер платы за использование земельных участков, находящихся в муниципальной собственности, для возведения гражданами гаражей, являющихся некапитальными сооружениями на территории Вышнедеревенского сельсовета Льговского района, определяется уполномоченным органом в расчете на год по следующей формуле:</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 = (КС x Ст) x К</w:t>
      </w:r>
      <w:r>
        <w:rPr>
          <w:rFonts w:ascii="Tahoma" w:hAnsi="Tahoma" w:cs="Tahoma"/>
          <w:color w:val="000000"/>
          <w:sz w:val="18"/>
          <w:szCs w:val="18"/>
          <w:vertAlign w:val="subscript"/>
        </w:rPr>
        <w:t>д</w:t>
      </w:r>
      <w:r>
        <w:rPr>
          <w:rFonts w:ascii="Tahoma" w:hAnsi="Tahoma" w:cs="Tahoma"/>
          <w:color w:val="000000"/>
          <w:sz w:val="18"/>
          <w:szCs w:val="18"/>
        </w:rPr>
        <w:t> / К</w:t>
      </w:r>
      <w:r>
        <w:rPr>
          <w:rFonts w:ascii="Tahoma" w:hAnsi="Tahoma" w:cs="Tahoma"/>
          <w:color w:val="000000"/>
          <w:sz w:val="18"/>
          <w:szCs w:val="18"/>
          <w:vertAlign w:val="subscript"/>
        </w:rPr>
        <w:t>г</w:t>
      </w:r>
      <w:r>
        <w:rPr>
          <w:rFonts w:ascii="Tahoma" w:hAnsi="Tahoma" w:cs="Tahoma"/>
          <w:color w:val="000000"/>
          <w:sz w:val="18"/>
          <w:szCs w:val="18"/>
        </w:rPr>
        <w:t>,</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где:</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 - размер платы (руб.);</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КС - кадастровая стоимость земельного участка (руб.);</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 - ставка земельного налога для земельных участков с видом разрешенного использования, предусматривающим возведение гаражей, устанавливаемая решением собрания депутатов Вышнедеревенского сельсовета Льговского района</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w:t>
      </w:r>
      <w:r>
        <w:rPr>
          <w:rFonts w:ascii="Tahoma" w:hAnsi="Tahoma" w:cs="Tahoma"/>
          <w:color w:val="000000"/>
          <w:sz w:val="18"/>
          <w:szCs w:val="18"/>
          <w:vertAlign w:val="subscript"/>
        </w:rPr>
        <w:t>д</w:t>
      </w:r>
      <w:r>
        <w:rPr>
          <w:rFonts w:ascii="Tahoma" w:hAnsi="Tahoma" w:cs="Tahoma"/>
          <w:color w:val="000000"/>
          <w:sz w:val="18"/>
          <w:szCs w:val="18"/>
        </w:rPr>
        <w:t> - количество дней использования земельного участка для возведения гаража, являющегося некапитальным сооружением, в течение календарного года (дни);</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w:t>
      </w:r>
      <w:r>
        <w:rPr>
          <w:rFonts w:ascii="Tahoma" w:hAnsi="Tahoma" w:cs="Tahoma"/>
          <w:color w:val="000000"/>
          <w:sz w:val="18"/>
          <w:szCs w:val="18"/>
          <w:vertAlign w:val="subscript"/>
        </w:rPr>
        <w:t>г</w:t>
      </w:r>
      <w:r>
        <w:rPr>
          <w:rFonts w:ascii="Tahoma" w:hAnsi="Tahoma" w:cs="Tahoma"/>
          <w:color w:val="000000"/>
          <w:sz w:val="18"/>
          <w:szCs w:val="18"/>
        </w:rPr>
        <w:t> - количество дней в году (365 или 366 дней).</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для возведения гаража, являющегося некапитальным сооружением, используется часть земельного участка, расчет производится по следующей формуле:</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 = (КС x Ст) x Кд / К</w:t>
      </w:r>
      <w:r>
        <w:rPr>
          <w:rFonts w:ascii="Tahoma" w:hAnsi="Tahoma" w:cs="Tahoma"/>
          <w:color w:val="000000"/>
          <w:sz w:val="18"/>
          <w:szCs w:val="18"/>
          <w:vertAlign w:val="subscript"/>
        </w:rPr>
        <w:t>г</w:t>
      </w:r>
      <w:r>
        <w:rPr>
          <w:rFonts w:ascii="Tahoma" w:hAnsi="Tahoma" w:cs="Tahoma"/>
          <w:color w:val="000000"/>
          <w:sz w:val="18"/>
          <w:szCs w:val="18"/>
        </w:rPr>
        <w:t> x S</w:t>
      </w:r>
      <w:r>
        <w:rPr>
          <w:rFonts w:ascii="Tahoma" w:hAnsi="Tahoma" w:cs="Tahoma"/>
          <w:color w:val="000000"/>
          <w:sz w:val="18"/>
          <w:szCs w:val="18"/>
          <w:vertAlign w:val="subscript"/>
        </w:rPr>
        <w:t>4</w:t>
      </w:r>
      <w:r>
        <w:rPr>
          <w:rFonts w:ascii="Tahoma" w:hAnsi="Tahoma" w:cs="Tahoma"/>
          <w:color w:val="000000"/>
          <w:sz w:val="18"/>
          <w:szCs w:val="18"/>
        </w:rPr>
        <w:t> / Sучастка,</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где:</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S</w:t>
      </w:r>
      <w:r>
        <w:rPr>
          <w:rFonts w:ascii="Tahoma" w:hAnsi="Tahoma" w:cs="Tahoma"/>
          <w:color w:val="000000"/>
          <w:sz w:val="18"/>
          <w:szCs w:val="18"/>
          <w:vertAlign w:val="subscript"/>
        </w:rPr>
        <w:t>4</w:t>
      </w:r>
      <w:r>
        <w:rPr>
          <w:rFonts w:ascii="Tahoma" w:hAnsi="Tahoma" w:cs="Tahoma"/>
          <w:color w:val="000000"/>
          <w:sz w:val="18"/>
          <w:szCs w:val="18"/>
        </w:rPr>
        <w:t> - площадь части земельного участка, используемого для возведения гаража, являющегося некапитальным сооружением (кв. м);</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Sучастка - общая площадь земельного участка (кв. м).</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Размер платы за использование земель и земельных участков (в случае, если не определена кадастровая стоимость), находящихся в муниципальной собственности, для возведения гражданами гаражей, являющихся некапитальными сооружениями, определяется уполномоченным органом в расчете на год по следующей формуле:</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 = Су x S x Ст x К</w:t>
      </w:r>
      <w:r>
        <w:rPr>
          <w:rFonts w:ascii="Tahoma" w:hAnsi="Tahoma" w:cs="Tahoma"/>
          <w:color w:val="000000"/>
          <w:sz w:val="18"/>
          <w:szCs w:val="18"/>
          <w:vertAlign w:val="subscript"/>
        </w:rPr>
        <w:t>д</w:t>
      </w:r>
      <w:r>
        <w:rPr>
          <w:rFonts w:ascii="Tahoma" w:hAnsi="Tahoma" w:cs="Tahoma"/>
          <w:color w:val="000000"/>
          <w:sz w:val="18"/>
          <w:szCs w:val="18"/>
        </w:rPr>
        <w:t> / К</w:t>
      </w:r>
      <w:r>
        <w:rPr>
          <w:rFonts w:ascii="Tahoma" w:hAnsi="Tahoma" w:cs="Tahoma"/>
          <w:color w:val="000000"/>
          <w:sz w:val="18"/>
          <w:szCs w:val="18"/>
          <w:vertAlign w:val="subscript"/>
        </w:rPr>
        <w:t>г</w:t>
      </w:r>
      <w:r>
        <w:rPr>
          <w:rFonts w:ascii="Tahoma" w:hAnsi="Tahoma" w:cs="Tahoma"/>
          <w:color w:val="000000"/>
          <w:sz w:val="18"/>
          <w:szCs w:val="18"/>
        </w:rPr>
        <w:t>,</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где:</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 - размер платы (руб.);</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 - средний уровень кадастровой стоимости земель и земельных участков по Вышнедеревенского сельсовета Льговского района, утвержденный нормативным правовым актом Курской   области (руб. на 1 кв. м);</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S - площадь земель или земельного участка (части земельного участка), используемых для возведения гражданами гаражей, являющихся некапитальными сооружениями (кв. м);</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 - ставка земельного налога для земельных участков с видом разрешенного использования, предусматривающим возведение гаражей, устанавливаемая решением Собрания депутатов Вышнедеревенского  сельсовета Льговского района;</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w:t>
      </w:r>
      <w:r>
        <w:rPr>
          <w:rFonts w:ascii="Tahoma" w:hAnsi="Tahoma" w:cs="Tahoma"/>
          <w:color w:val="000000"/>
          <w:sz w:val="18"/>
          <w:szCs w:val="18"/>
          <w:vertAlign w:val="subscript"/>
        </w:rPr>
        <w:t>д</w:t>
      </w:r>
      <w:r>
        <w:rPr>
          <w:rFonts w:ascii="Tahoma" w:hAnsi="Tahoma" w:cs="Tahoma"/>
          <w:color w:val="000000"/>
          <w:sz w:val="18"/>
          <w:szCs w:val="18"/>
        </w:rPr>
        <w:t> - количество дней использования земель или земельного участка для возведения гаража, являющегося некапитальным сооружением, в течение календарного года (дни);</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w:t>
      </w:r>
      <w:r>
        <w:rPr>
          <w:rFonts w:ascii="Tahoma" w:hAnsi="Tahoma" w:cs="Tahoma"/>
          <w:color w:val="000000"/>
          <w:sz w:val="18"/>
          <w:szCs w:val="18"/>
          <w:vertAlign w:val="subscript"/>
        </w:rPr>
        <w:t>г</w:t>
      </w:r>
      <w:r>
        <w:rPr>
          <w:rFonts w:ascii="Tahoma" w:hAnsi="Tahoma" w:cs="Tahoma"/>
          <w:color w:val="000000"/>
          <w:sz w:val="18"/>
          <w:szCs w:val="18"/>
        </w:rPr>
        <w:t> - количество дней в году (365 или 366 дней).</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Перерасчет размера платы за использование земельных участков, находящихся в муниципальной собственности, для возведения гражданами гаражей, являющихся некапитальными сооружениями, производится уполномоченным органом:</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В отношении земельных участков, указанных в </w:t>
      </w:r>
      <w:hyperlink r:id="rId9" w:anchor="P43" w:history="1">
        <w:r>
          <w:rPr>
            <w:rStyle w:val="a5"/>
            <w:rFonts w:ascii="Tahoma" w:hAnsi="Tahoma" w:cs="Tahoma"/>
            <w:color w:val="33A6E3"/>
            <w:sz w:val="18"/>
            <w:szCs w:val="18"/>
          </w:rPr>
          <w:t>пункте 3</w:t>
        </w:r>
      </w:hyperlink>
      <w:r>
        <w:rPr>
          <w:rFonts w:ascii="Tahoma" w:hAnsi="Tahoma" w:cs="Tahoma"/>
          <w:color w:val="000000"/>
          <w:sz w:val="18"/>
          <w:szCs w:val="18"/>
        </w:rPr>
        <w:t> настоящего Порядка, с 1 января календарного года, следующего за годом, в котором утверждены новые результаты определения кадастровой стоимости земельных участков, и не позднее 1 февраля следующего финансового года после опубликования результатов определения государственной кадастровой стоимости земельных участков в установленном законом порядке.</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В отношении земель и земельных участков, указанных в </w:t>
      </w:r>
      <w:hyperlink r:id="rId10" w:anchor="P60" w:history="1">
        <w:r>
          <w:rPr>
            <w:rStyle w:val="a5"/>
            <w:rFonts w:ascii="Tahoma" w:hAnsi="Tahoma" w:cs="Tahoma"/>
            <w:color w:val="33A6E3"/>
            <w:sz w:val="18"/>
            <w:szCs w:val="18"/>
          </w:rPr>
          <w:t>пункте 4</w:t>
        </w:r>
      </w:hyperlink>
      <w:r>
        <w:rPr>
          <w:rFonts w:ascii="Tahoma" w:hAnsi="Tahoma" w:cs="Tahoma"/>
          <w:color w:val="000000"/>
          <w:sz w:val="18"/>
          <w:szCs w:val="18"/>
        </w:rPr>
        <w:t> настоящего Порядка, с 1 января календарного года, следующего за годом, в котором утвержден средний уровень кадастровой стоимости земель и земельных участков по Новогоряновскому сельскому поселению, и не позднее 1 февраля следующего финансового года после опубликования результатов определения государственной кадастровой стоимости земельных участков в установленном законом порядке.</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Порядок применяется также при определении платы за пользование земельными участками после возведения гаражей, являющихся некапитальными сооружениями.</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Плата за использование земель или земельных участков вносится лицом, использующим земли или земельные участки, ежеквартально, не позднее 5 числа месяца, следующего за истекшим кварталом.</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 случае не поступления платы за использование земель или земельных участков в установленный срок лицо, использующее земли или земельные участки, уплачивает пеню в размере 0,1 процента от неоплаченной суммы за каждый день просрочки.</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Использование земельных участков для стоянки средств передвижения инвалидов вблизи их мест жительства осуществляется бесплатно.</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Вышнедеревенского  сельсовета</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Льговского района</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  «   г.№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СХЕМА</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размещения гаражей, являющихся некапитальными сооружениями, а также мест стоянки технических или других средств передвижения инвалидов вблизи их места жительства на земельных участках, находящихся в государственной или муниципальной собственности</w:t>
      </w:r>
    </w:p>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49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60"/>
        <w:gridCol w:w="2399"/>
        <w:gridCol w:w="1798"/>
        <w:gridCol w:w="1663"/>
        <w:gridCol w:w="1963"/>
        <w:gridCol w:w="1933"/>
        <w:gridCol w:w="1438"/>
        <w:gridCol w:w="1408"/>
        <w:gridCol w:w="1693"/>
      </w:tblGrid>
      <w:tr w:rsidR="00804B87" w:rsidTr="00804B87">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4B87" w:rsidRDefault="00804B87">
            <w:pPr>
              <w:pStyle w:val="a3"/>
              <w:spacing w:before="0" w:beforeAutospacing="0" w:after="0" w:afterAutospacing="0"/>
              <w:jc w:val="both"/>
              <w:rPr>
                <w:sz w:val="18"/>
                <w:szCs w:val="18"/>
              </w:rPr>
            </w:pPr>
            <w:r>
              <w:rPr>
                <w:sz w:val="18"/>
                <w:szCs w:val="18"/>
              </w:rPr>
              <w:t>№</w:t>
            </w:r>
          </w:p>
          <w:p w:rsidR="00804B87" w:rsidRDefault="00804B87">
            <w:pPr>
              <w:pStyle w:val="a3"/>
              <w:spacing w:before="0" w:beforeAutospacing="0" w:after="0" w:afterAutospacing="0"/>
              <w:jc w:val="both"/>
              <w:rPr>
                <w:sz w:val="18"/>
                <w:szCs w:val="18"/>
              </w:rPr>
            </w:pPr>
            <w:r>
              <w:rPr>
                <w:sz w:val="18"/>
                <w:szCs w:val="18"/>
              </w:rPr>
              <w:t>п.п.</w:t>
            </w:r>
          </w:p>
        </w:tc>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4B87" w:rsidRDefault="00804B87">
            <w:pPr>
              <w:pStyle w:val="a3"/>
              <w:spacing w:before="0" w:beforeAutospacing="0" w:after="0" w:afterAutospacing="0"/>
              <w:jc w:val="both"/>
              <w:rPr>
                <w:sz w:val="18"/>
                <w:szCs w:val="18"/>
              </w:rPr>
            </w:pPr>
            <w:r>
              <w:rPr>
                <w:sz w:val="18"/>
                <w:szCs w:val="18"/>
              </w:rPr>
              <w:t>Место размещения (местоположение)</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4B87" w:rsidRDefault="00804B87">
            <w:pPr>
              <w:pStyle w:val="a3"/>
              <w:spacing w:before="0" w:beforeAutospacing="0" w:after="0" w:afterAutospacing="0"/>
              <w:jc w:val="both"/>
              <w:rPr>
                <w:sz w:val="18"/>
                <w:szCs w:val="18"/>
              </w:rPr>
            </w:pPr>
            <w:r>
              <w:rPr>
                <w:sz w:val="18"/>
                <w:szCs w:val="18"/>
              </w:rPr>
              <w:t>№ кадастрового квартала или номер земельного участка (при наличии)</w:t>
            </w:r>
          </w:p>
        </w:tc>
        <w:tc>
          <w:tcPr>
            <w:tcW w:w="1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4B87" w:rsidRDefault="00804B87">
            <w:pPr>
              <w:pStyle w:val="a3"/>
              <w:spacing w:before="0" w:beforeAutospacing="0" w:after="0" w:afterAutospacing="0"/>
              <w:jc w:val="both"/>
              <w:rPr>
                <w:sz w:val="18"/>
                <w:szCs w:val="18"/>
              </w:rPr>
            </w:pPr>
            <w:r>
              <w:rPr>
                <w:sz w:val="18"/>
                <w:szCs w:val="18"/>
              </w:rPr>
              <w:t>Площадь участка/ его части (кв.м)/ количество единиц размещения</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4B87" w:rsidRDefault="00804B87">
            <w:pPr>
              <w:pStyle w:val="a3"/>
              <w:spacing w:before="0" w:beforeAutospacing="0" w:after="0" w:afterAutospacing="0"/>
              <w:jc w:val="both"/>
              <w:rPr>
                <w:sz w:val="18"/>
                <w:szCs w:val="18"/>
              </w:rPr>
            </w:pPr>
            <w:r>
              <w:rPr>
                <w:sz w:val="18"/>
                <w:szCs w:val="18"/>
              </w:rPr>
              <w:t>Вид собственности</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4B87" w:rsidRDefault="00804B87">
            <w:pPr>
              <w:pStyle w:val="a3"/>
              <w:spacing w:before="0" w:beforeAutospacing="0" w:after="0" w:afterAutospacing="0"/>
              <w:jc w:val="both"/>
              <w:rPr>
                <w:sz w:val="18"/>
                <w:szCs w:val="18"/>
              </w:rPr>
            </w:pPr>
            <w:r>
              <w:rPr>
                <w:sz w:val="18"/>
                <w:szCs w:val="18"/>
              </w:rPr>
              <w:t>Вид размещаемого объекта</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4B87" w:rsidRDefault="00804B87">
            <w:pPr>
              <w:pStyle w:val="a3"/>
              <w:spacing w:before="0" w:beforeAutospacing="0" w:after="0" w:afterAutospacing="0"/>
              <w:jc w:val="both"/>
              <w:rPr>
                <w:sz w:val="18"/>
                <w:szCs w:val="18"/>
              </w:rPr>
            </w:pPr>
            <w:r>
              <w:rPr>
                <w:sz w:val="18"/>
                <w:szCs w:val="18"/>
              </w:rPr>
              <w:t>Площадь размеща-емого объекта (кв.м)</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4B87" w:rsidRDefault="00804B87">
            <w:pPr>
              <w:pStyle w:val="a3"/>
              <w:spacing w:before="0" w:beforeAutospacing="0" w:after="0" w:afterAutospacing="0"/>
              <w:jc w:val="both"/>
              <w:rPr>
                <w:sz w:val="18"/>
                <w:szCs w:val="18"/>
              </w:rPr>
            </w:pPr>
            <w:r>
              <w:rPr>
                <w:sz w:val="18"/>
                <w:szCs w:val="18"/>
              </w:rPr>
              <w:t>Срок размеще-ния объекта (период размеще-ния)</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4B87" w:rsidRDefault="00804B87">
            <w:pPr>
              <w:pStyle w:val="a3"/>
              <w:spacing w:before="0" w:beforeAutospacing="0" w:after="0" w:afterAutospacing="0"/>
              <w:jc w:val="both"/>
              <w:rPr>
                <w:sz w:val="18"/>
                <w:szCs w:val="18"/>
              </w:rPr>
            </w:pPr>
            <w:r>
              <w:rPr>
                <w:sz w:val="18"/>
                <w:szCs w:val="18"/>
              </w:rPr>
              <w:t>Примечание</w:t>
            </w:r>
          </w:p>
        </w:tc>
      </w:tr>
      <w:tr w:rsidR="00804B87" w:rsidTr="00804B87">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4B87" w:rsidRDefault="00804B87">
            <w:pPr>
              <w:pStyle w:val="a3"/>
              <w:spacing w:before="0" w:beforeAutospacing="0" w:after="0" w:afterAutospacing="0"/>
              <w:jc w:val="both"/>
              <w:rPr>
                <w:sz w:val="18"/>
                <w:szCs w:val="18"/>
              </w:rPr>
            </w:pPr>
            <w:r>
              <w:rPr>
                <w:sz w:val="18"/>
                <w:szCs w:val="18"/>
              </w:rPr>
              <w:t>1</w:t>
            </w:r>
          </w:p>
        </w:tc>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4B87" w:rsidRDefault="00804B87">
            <w:pPr>
              <w:pStyle w:val="a3"/>
              <w:spacing w:before="0" w:beforeAutospacing="0" w:after="0" w:afterAutospacing="0"/>
              <w:jc w:val="both"/>
              <w:rPr>
                <w:sz w:val="18"/>
                <w:szCs w:val="18"/>
              </w:rPr>
            </w:pPr>
            <w:r>
              <w:rPr>
                <w:sz w:val="18"/>
                <w:szCs w:val="18"/>
              </w:rPr>
              <w:t>2</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4B87" w:rsidRDefault="00804B87">
            <w:pPr>
              <w:pStyle w:val="a3"/>
              <w:spacing w:before="0" w:beforeAutospacing="0" w:after="0" w:afterAutospacing="0"/>
              <w:jc w:val="both"/>
              <w:rPr>
                <w:sz w:val="18"/>
                <w:szCs w:val="18"/>
              </w:rPr>
            </w:pPr>
            <w:r>
              <w:rPr>
                <w:sz w:val="18"/>
                <w:szCs w:val="18"/>
              </w:rPr>
              <w:t>3</w:t>
            </w:r>
          </w:p>
        </w:tc>
        <w:tc>
          <w:tcPr>
            <w:tcW w:w="1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4B87" w:rsidRDefault="00804B87">
            <w:pPr>
              <w:pStyle w:val="a3"/>
              <w:spacing w:before="0" w:beforeAutospacing="0" w:after="0" w:afterAutospacing="0"/>
              <w:jc w:val="both"/>
              <w:rPr>
                <w:sz w:val="18"/>
                <w:szCs w:val="18"/>
              </w:rPr>
            </w:pPr>
            <w:r>
              <w:rPr>
                <w:sz w:val="18"/>
                <w:szCs w:val="18"/>
              </w:rPr>
              <w:t>4</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4B87" w:rsidRDefault="00804B87">
            <w:pPr>
              <w:pStyle w:val="a3"/>
              <w:spacing w:before="0" w:beforeAutospacing="0" w:after="0" w:afterAutospacing="0"/>
              <w:jc w:val="both"/>
              <w:rPr>
                <w:sz w:val="18"/>
                <w:szCs w:val="18"/>
              </w:rPr>
            </w:pPr>
            <w:r>
              <w:rPr>
                <w:sz w:val="18"/>
                <w:szCs w:val="18"/>
              </w:rPr>
              <w:t>5</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4B87" w:rsidRDefault="00804B87">
            <w:pPr>
              <w:pStyle w:val="a3"/>
              <w:spacing w:before="0" w:beforeAutospacing="0" w:after="0" w:afterAutospacing="0"/>
              <w:jc w:val="both"/>
              <w:rPr>
                <w:sz w:val="18"/>
                <w:szCs w:val="18"/>
              </w:rPr>
            </w:pPr>
            <w:r>
              <w:rPr>
                <w:sz w:val="18"/>
                <w:szCs w:val="18"/>
              </w:rPr>
              <w:t>6</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4B87" w:rsidRDefault="00804B87">
            <w:pPr>
              <w:pStyle w:val="a3"/>
              <w:spacing w:before="0" w:beforeAutospacing="0" w:after="0" w:afterAutospacing="0"/>
              <w:jc w:val="both"/>
              <w:rPr>
                <w:sz w:val="18"/>
                <w:szCs w:val="18"/>
              </w:rPr>
            </w:pPr>
            <w:r>
              <w:rPr>
                <w:sz w:val="18"/>
                <w:szCs w:val="18"/>
              </w:rPr>
              <w:t>7</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4B87" w:rsidRDefault="00804B87">
            <w:pPr>
              <w:pStyle w:val="a3"/>
              <w:spacing w:before="0" w:beforeAutospacing="0" w:after="0" w:afterAutospacing="0"/>
              <w:jc w:val="both"/>
              <w:rPr>
                <w:sz w:val="18"/>
                <w:szCs w:val="18"/>
              </w:rPr>
            </w:pPr>
            <w:r>
              <w:rPr>
                <w:sz w:val="18"/>
                <w:szCs w:val="18"/>
              </w:rPr>
              <w:t>8</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04B87" w:rsidRDefault="00804B87">
            <w:pPr>
              <w:pStyle w:val="a3"/>
              <w:spacing w:before="0" w:beforeAutospacing="0" w:after="0" w:afterAutospacing="0"/>
              <w:jc w:val="both"/>
              <w:rPr>
                <w:sz w:val="18"/>
                <w:szCs w:val="18"/>
              </w:rPr>
            </w:pPr>
            <w:r>
              <w:rPr>
                <w:sz w:val="18"/>
                <w:szCs w:val="18"/>
              </w:rPr>
              <w:t>9</w:t>
            </w:r>
          </w:p>
        </w:tc>
      </w:tr>
    </w:tbl>
    <w:p w:rsidR="00804B87" w:rsidRDefault="00804B87" w:rsidP="00804B8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320D5" w:rsidRPr="00804B87" w:rsidRDefault="004320D5" w:rsidP="00804B87"/>
    <w:sectPr w:rsidR="004320D5" w:rsidRPr="00804B87" w:rsidSect="006C7C39">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0FCC"/>
    <w:multiLevelType w:val="multilevel"/>
    <w:tmpl w:val="8788D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3C0CF6"/>
    <w:multiLevelType w:val="multilevel"/>
    <w:tmpl w:val="C082B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4170DC"/>
    <w:multiLevelType w:val="multilevel"/>
    <w:tmpl w:val="D0C83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72247C"/>
    <w:multiLevelType w:val="multilevel"/>
    <w:tmpl w:val="E9A89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1F6551"/>
    <w:multiLevelType w:val="multilevel"/>
    <w:tmpl w:val="56AC5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6A58E8"/>
    <w:multiLevelType w:val="multilevel"/>
    <w:tmpl w:val="FC923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83463F"/>
    <w:multiLevelType w:val="multilevel"/>
    <w:tmpl w:val="58D8D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E903FA"/>
    <w:multiLevelType w:val="multilevel"/>
    <w:tmpl w:val="89EC8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5658B8"/>
    <w:multiLevelType w:val="multilevel"/>
    <w:tmpl w:val="B5203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570BFC"/>
    <w:multiLevelType w:val="multilevel"/>
    <w:tmpl w:val="ED768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797273"/>
    <w:multiLevelType w:val="multilevel"/>
    <w:tmpl w:val="F7EA8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B4424C"/>
    <w:multiLevelType w:val="multilevel"/>
    <w:tmpl w:val="365CB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24C7309"/>
    <w:multiLevelType w:val="multilevel"/>
    <w:tmpl w:val="D1BEF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F96AF3"/>
    <w:multiLevelType w:val="multilevel"/>
    <w:tmpl w:val="5A500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5D0152"/>
    <w:multiLevelType w:val="multilevel"/>
    <w:tmpl w:val="A0C4F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C4B70AF"/>
    <w:multiLevelType w:val="multilevel"/>
    <w:tmpl w:val="6248F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2C5A2C"/>
    <w:multiLevelType w:val="multilevel"/>
    <w:tmpl w:val="1E284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C07228"/>
    <w:multiLevelType w:val="multilevel"/>
    <w:tmpl w:val="5412C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E57003"/>
    <w:multiLevelType w:val="multilevel"/>
    <w:tmpl w:val="E7C05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86241C9"/>
    <w:multiLevelType w:val="multilevel"/>
    <w:tmpl w:val="EC949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6C14BE"/>
    <w:multiLevelType w:val="multilevel"/>
    <w:tmpl w:val="07605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4857142"/>
    <w:multiLevelType w:val="multilevel"/>
    <w:tmpl w:val="720CB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4A1399"/>
    <w:multiLevelType w:val="multilevel"/>
    <w:tmpl w:val="28000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7C1A19"/>
    <w:multiLevelType w:val="multilevel"/>
    <w:tmpl w:val="DD28C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BC1A64"/>
    <w:multiLevelType w:val="multilevel"/>
    <w:tmpl w:val="330CD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D4F211C"/>
    <w:multiLevelType w:val="multilevel"/>
    <w:tmpl w:val="BF2EB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E5A1581"/>
    <w:multiLevelType w:val="multilevel"/>
    <w:tmpl w:val="50A2A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0E52B39"/>
    <w:multiLevelType w:val="multilevel"/>
    <w:tmpl w:val="E97E2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40C1774"/>
    <w:multiLevelType w:val="multilevel"/>
    <w:tmpl w:val="CA42F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6277CD"/>
    <w:multiLevelType w:val="multilevel"/>
    <w:tmpl w:val="78003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5868C4"/>
    <w:multiLevelType w:val="multilevel"/>
    <w:tmpl w:val="D9A64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6832922"/>
    <w:multiLevelType w:val="multilevel"/>
    <w:tmpl w:val="5616E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9862F38"/>
    <w:multiLevelType w:val="multilevel"/>
    <w:tmpl w:val="69DA5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B593025"/>
    <w:multiLevelType w:val="multilevel"/>
    <w:tmpl w:val="8AF69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0FE34AC"/>
    <w:multiLevelType w:val="multilevel"/>
    <w:tmpl w:val="EC1EE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2301C91"/>
    <w:multiLevelType w:val="multilevel"/>
    <w:tmpl w:val="4A66A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62E420A"/>
    <w:multiLevelType w:val="multilevel"/>
    <w:tmpl w:val="62D02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6C30232"/>
    <w:multiLevelType w:val="multilevel"/>
    <w:tmpl w:val="E65A9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766123C"/>
    <w:multiLevelType w:val="multilevel"/>
    <w:tmpl w:val="858CD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7C77E28"/>
    <w:multiLevelType w:val="multilevel"/>
    <w:tmpl w:val="41826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8460890"/>
    <w:multiLevelType w:val="multilevel"/>
    <w:tmpl w:val="42229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8CD565D"/>
    <w:multiLevelType w:val="multilevel"/>
    <w:tmpl w:val="C81C8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0652900"/>
    <w:multiLevelType w:val="multilevel"/>
    <w:tmpl w:val="30744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8274C56"/>
    <w:multiLevelType w:val="multilevel"/>
    <w:tmpl w:val="ABD22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82C01D8"/>
    <w:multiLevelType w:val="multilevel"/>
    <w:tmpl w:val="E7C29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9C851E0"/>
    <w:multiLevelType w:val="multilevel"/>
    <w:tmpl w:val="6B6EB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9F86256"/>
    <w:multiLevelType w:val="multilevel"/>
    <w:tmpl w:val="820C7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45"/>
  </w:num>
  <w:num w:numId="3">
    <w:abstractNumId w:val="40"/>
  </w:num>
  <w:num w:numId="4">
    <w:abstractNumId w:val="23"/>
  </w:num>
  <w:num w:numId="5">
    <w:abstractNumId w:val="13"/>
  </w:num>
  <w:num w:numId="6">
    <w:abstractNumId w:val="34"/>
  </w:num>
  <w:num w:numId="7">
    <w:abstractNumId w:val="20"/>
  </w:num>
  <w:num w:numId="8">
    <w:abstractNumId w:val="26"/>
  </w:num>
  <w:num w:numId="9">
    <w:abstractNumId w:val="1"/>
  </w:num>
  <w:num w:numId="10">
    <w:abstractNumId w:val="35"/>
  </w:num>
  <w:num w:numId="11">
    <w:abstractNumId w:val="3"/>
  </w:num>
  <w:num w:numId="12">
    <w:abstractNumId w:val="37"/>
  </w:num>
  <w:num w:numId="13">
    <w:abstractNumId w:val="7"/>
  </w:num>
  <w:num w:numId="14">
    <w:abstractNumId w:val="39"/>
  </w:num>
  <w:num w:numId="15">
    <w:abstractNumId w:val="18"/>
  </w:num>
  <w:num w:numId="16">
    <w:abstractNumId w:val="19"/>
  </w:num>
  <w:num w:numId="17">
    <w:abstractNumId w:val="24"/>
  </w:num>
  <w:num w:numId="18">
    <w:abstractNumId w:val="22"/>
  </w:num>
  <w:num w:numId="19">
    <w:abstractNumId w:val="11"/>
  </w:num>
  <w:num w:numId="20">
    <w:abstractNumId w:val="27"/>
  </w:num>
  <w:num w:numId="21">
    <w:abstractNumId w:val="15"/>
  </w:num>
  <w:num w:numId="22">
    <w:abstractNumId w:val="14"/>
  </w:num>
  <w:num w:numId="23">
    <w:abstractNumId w:val="36"/>
  </w:num>
  <w:num w:numId="24">
    <w:abstractNumId w:val="2"/>
  </w:num>
  <w:num w:numId="25">
    <w:abstractNumId w:val="46"/>
  </w:num>
  <w:num w:numId="26">
    <w:abstractNumId w:val="33"/>
  </w:num>
  <w:num w:numId="27">
    <w:abstractNumId w:val="8"/>
  </w:num>
  <w:num w:numId="28">
    <w:abstractNumId w:val="31"/>
  </w:num>
  <w:num w:numId="29">
    <w:abstractNumId w:val="6"/>
  </w:num>
  <w:num w:numId="30">
    <w:abstractNumId w:val="21"/>
  </w:num>
  <w:num w:numId="31">
    <w:abstractNumId w:val="5"/>
  </w:num>
  <w:num w:numId="32">
    <w:abstractNumId w:val="9"/>
  </w:num>
  <w:num w:numId="33">
    <w:abstractNumId w:val="28"/>
  </w:num>
  <w:num w:numId="34">
    <w:abstractNumId w:val="12"/>
  </w:num>
  <w:num w:numId="35">
    <w:abstractNumId w:val="44"/>
  </w:num>
  <w:num w:numId="36">
    <w:abstractNumId w:val="41"/>
  </w:num>
  <w:num w:numId="37">
    <w:abstractNumId w:val="4"/>
  </w:num>
  <w:num w:numId="38">
    <w:abstractNumId w:val="0"/>
  </w:num>
  <w:num w:numId="39">
    <w:abstractNumId w:val="29"/>
  </w:num>
  <w:num w:numId="40">
    <w:abstractNumId w:val="42"/>
  </w:num>
  <w:num w:numId="41">
    <w:abstractNumId w:val="10"/>
  </w:num>
  <w:num w:numId="42">
    <w:abstractNumId w:val="30"/>
  </w:num>
  <w:num w:numId="43">
    <w:abstractNumId w:val="32"/>
  </w:num>
  <w:num w:numId="44">
    <w:abstractNumId w:val="25"/>
  </w:num>
  <w:num w:numId="45">
    <w:abstractNumId w:val="43"/>
  </w:num>
  <w:num w:numId="46">
    <w:abstractNumId w:val="17"/>
  </w:num>
  <w:num w:numId="47">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04EF2"/>
    <w:rsid w:val="00145C8F"/>
    <w:rsid w:val="002110EC"/>
    <w:rsid w:val="00357097"/>
    <w:rsid w:val="00371DF3"/>
    <w:rsid w:val="00394BC3"/>
    <w:rsid w:val="00406307"/>
    <w:rsid w:val="00431916"/>
    <w:rsid w:val="004320D5"/>
    <w:rsid w:val="004615A9"/>
    <w:rsid w:val="004A5083"/>
    <w:rsid w:val="00544161"/>
    <w:rsid w:val="006275F5"/>
    <w:rsid w:val="006B444F"/>
    <w:rsid w:val="006C7C39"/>
    <w:rsid w:val="006D6CC6"/>
    <w:rsid w:val="007F6AC5"/>
    <w:rsid w:val="00804B87"/>
    <w:rsid w:val="00804EF2"/>
    <w:rsid w:val="00874553"/>
    <w:rsid w:val="008F0F32"/>
    <w:rsid w:val="00996723"/>
    <w:rsid w:val="00A3344B"/>
    <w:rsid w:val="00AF58C8"/>
    <w:rsid w:val="00BF5FF8"/>
    <w:rsid w:val="00E4519D"/>
    <w:rsid w:val="00F55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0D5"/>
  </w:style>
  <w:style w:type="paragraph" w:styleId="2">
    <w:name w:val="heading 2"/>
    <w:basedOn w:val="a"/>
    <w:link w:val="20"/>
    <w:uiPriority w:val="9"/>
    <w:qFormat/>
    <w:rsid w:val="006D6C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6D6CC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4E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4EF2"/>
    <w:rPr>
      <w:b/>
      <w:bCs/>
    </w:rPr>
  </w:style>
  <w:style w:type="character" w:customStyle="1" w:styleId="20">
    <w:name w:val="Заголовок 2 Знак"/>
    <w:basedOn w:val="a0"/>
    <w:link w:val="2"/>
    <w:uiPriority w:val="9"/>
    <w:rsid w:val="006D6CC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6D6CC6"/>
    <w:rPr>
      <w:rFonts w:ascii="Times New Roman" w:eastAsia="Times New Roman" w:hAnsi="Times New Roman" w:cs="Times New Roman"/>
      <w:b/>
      <w:bCs/>
      <w:sz w:val="24"/>
      <w:szCs w:val="24"/>
      <w:lang w:eastAsia="ru-RU"/>
    </w:rPr>
  </w:style>
  <w:style w:type="character" w:styleId="a5">
    <w:name w:val="Hyperlink"/>
    <w:basedOn w:val="a0"/>
    <w:uiPriority w:val="99"/>
    <w:semiHidden/>
    <w:unhideWhenUsed/>
    <w:rsid w:val="006B444F"/>
    <w:rPr>
      <w:color w:val="0000FF"/>
      <w:u w:val="single"/>
    </w:rPr>
  </w:style>
  <w:style w:type="character" w:styleId="a6">
    <w:name w:val="FollowedHyperlink"/>
    <w:basedOn w:val="a0"/>
    <w:uiPriority w:val="99"/>
    <w:semiHidden/>
    <w:unhideWhenUsed/>
    <w:rsid w:val="006B444F"/>
    <w:rPr>
      <w:color w:val="800080"/>
      <w:u w:val="single"/>
    </w:rPr>
  </w:style>
  <w:style w:type="paragraph" w:styleId="a7">
    <w:name w:val="Balloon Text"/>
    <w:basedOn w:val="a"/>
    <w:link w:val="a8"/>
    <w:uiPriority w:val="99"/>
    <w:semiHidden/>
    <w:unhideWhenUsed/>
    <w:rsid w:val="006B444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44F"/>
    <w:rPr>
      <w:rFonts w:ascii="Tahoma" w:hAnsi="Tahoma" w:cs="Tahoma"/>
      <w:sz w:val="16"/>
      <w:szCs w:val="16"/>
    </w:rPr>
  </w:style>
  <w:style w:type="character" w:styleId="a9">
    <w:name w:val="Emphasis"/>
    <w:basedOn w:val="a0"/>
    <w:uiPriority w:val="20"/>
    <w:qFormat/>
    <w:rsid w:val="00371DF3"/>
    <w:rPr>
      <w:i/>
      <w:iCs/>
    </w:rPr>
  </w:style>
</w:styles>
</file>

<file path=word/webSettings.xml><?xml version="1.0" encoding="utf-8"?>
<w:webSettings xmlns:r="http://schemas.openxmlformats.org/officeDocument/2006/relationships" xmlns:w="http://schemas.openxmlformats.org/wordprocessingml/2006/main">
  <w:divs>
    <w:div w:id="194318027">
      <w:bodyDiv w:val="1"/>
      <w:marLeft w:val="0"/>
      <w:marRight w:val="0"/>
      <w:marTop w:val="0"/>
      <w:marBottom w:val="0"/>
      <w:divBdr>
        <w:top w:val="none" w:sz="0" w:space="0" w:color="auto"/>
        <w:left w:val="none" w:sz="0" w:space="0" w:color="auto"/>
        <w:bottom w:val="none" w:sz="0" w:space="0" w:color="auto"/>
        <w:right w:val="none" w:sz="0" w:space="0" w:color="auto"/>
      </w:divBdr>
      <w:divsChild>
        <w:div w:id="1189367614">
          <w:marLeft w:val="0"/>
          <w:marRight w:val="0"/>
          <w:marTop w:val="0"/>
          <w:marBottom w:val="225"/>
          <w:divBdr>
            <w:top w:val="none" w:sz="0" w:space="0" w:color="auto"/>
            <w:left w:val="none" w:sz="0" w:space="0" w:color="auto"/>
            <w:bottom w:val="none" w:sz="0" w:space="0" w:color="auto"/>
            <w:right w:val="none" w:sz="0" w:space="0" w:color="auto"/>
          </w:divBdr>
        </w:div>
      </w:divsChild>
    </w:div>
    <w:div w:id="302125870">
      <w:bodyDiv w:val="1"/>
      <w:marLeft w:val="0"/>
      <w:marRight w:val="0"/>
      <w:marTop w:val="0"/>
      <w:marBottom w:val="0"/>
      <w:divBdr>
        <w:top w:val="none" w:sz="0" w:space="0" w:color="auto"/>
        <w:left w:val="none" w:sz="0" w:space="0" w:color="auto"/>
        <w:bottom w:val="none" w:sz="0" w:space="0" w:color="auto"/>
        <w:right w:val="none" w:sz="0" w:space="0" w:color="auto"/>
      </w:divBdr>
      <w:divsChild>
        <w:div w:id="1278414886">
          <w:marLeft w:val="0"/>
          <w:marRight w:val="0"/>
          <w:marTop w:val="0"/>
          <w:marBottom w:val="225"/>
          <w:divBdr>
            <w:top w:val="none" w:sz="0" w:space="0" w:color="auto"/>
            <w:left w:val="none" w:sz="0" w:space="0" w:color="auto"/>
            <w:bottom w:val="none" w:sz="0" w:space="0" w:color="auto"/>
            <w:right w:val="none" w:sz="0" w:space="0" w:color="auto"/>
          </w:divBdr>
        </w:div>
      </w:divsChild>
    </w:div>
    <w:div w:id="561477535">
      <w:bodyDiv w:val="1"/>
      <w:marLeft w:val="0"/>
      <w:marRight w:val="0"/>
      <w:marTop w:val="0"/>
      <w:marBottom w:val="0"/>
      <w:divBdr>
        <w:top w:val="none" w:sz="0" w:space="0" w:color="auto"/>
        <w:left w:val="none" w:sz="0" w:space="0" w:color="auto"/>
        <w:bottom w:val="none" w:sz="0" w:space="0" w:color="auto"/>
        <w:right w:val="none" w:sz="0" w:space="0" w:color="auto"/>
      </w:divBdr>
      <w:divsChild>
        <w:div w:id="1993826675">
          <w:marLeft w:val="0"/>
          <w:marRight w:val="0"/>
          <w:marTop w:val="0"/>
          <w:marBottom w:val="225"/>
          <w:divBdr>
            <w:top w:val="none" w:sz="0" w:space="0" w:color="auto"/>
            <w:left w:val="none" w:sz="0" w:space="0" w:color="auto"/>
            <w:bottom w:val="none" w:sz="0" w:space="0" w:color="auto"/>
            <w:right w:val="none" w:sz="0" w:space="0" w:color="auto"/>
          </w:divBdr>
        </w:div>
      </w:divsChild>
    </w:div>
    <w:div w:id="725031032">
      <w:bodyDiv w:val="1"/>
      <w:marLeft w:val="0"/>
      <w:marRight w:val="0"/>
      <w:marTop w:val="0"/>
      <w:marBottom w:val="0"/>
      <w:divBdr>
        <w:top w:val="none" w:sz="0" w:space="0" w:color="auto"/>
        <w:left w:val="none" w:sz="0" w:space="0" w:color="auto"/>
        <w:bottom w:val="none" w:sz="0" w:space="0" w:color="auto"/>
        <w:right w:val="none" w:sz="0" w:space="0" w:color="auto"/>
      </w:divBdr>
      <w:divsChild>
        <w:div w:id="781413605">
          <w:marLeft w:val="0"/>
          <w:marRight w:val="0"/>
          <w:marTop w:val="0"/>
          <w:marBottom w:val="225"/>
          <w:divBdr>
            <w:top w:val="none" w:sz="0" w:space="0" w:color="auto"/>
            <w:left w:val="none" w:sz="0" w:space="0" w:color="auto"/>
            <w:bottom w:val="none" w:sz="0" w:space="0" w:color="auto"/>
            <w:right w:val="none" w:sz="0" w:space="0" w:color="auto"/>
          </w:divBdr>
        </w:div>
      </w:divsChild>
    </w:div>
    <w:div w:id="972566805">
      <w:bodyDiv w:val="1"/>
      <w:marLeft w:val="0"/>
      <w:marRight w:val="0"/>
      <w:marTop w:val="0"/>
      <w:marBottom w:val="0"/>
      <w:divBdr>
        <w:top w:val="none" w:sz="0" w:space="0" w:color="auto"/>
        <w:left w:val="none" w:sz="0" w:space="0" w:color="auto"/>
        <w:bottom w:val="none" w:sz="0" w:space="0" w:color="auto"/>
        <w:right w:val="none" w:sz="0" w:space="0" w:color="auto"/>
      </w:divBdr>
      <w:divsChild>
        <w:div w:id="2013679646">
          <w:marLeft w:val="0"/>
          <w:marRight w:val="0"/>
          <w:marTop w:val="0"/>
          <w:marBottom w:val="225"/>
          <w:divBdr>
            <w:top w:val="none" w:sz="0" w:space="0" w:color="auto"/>
            <w:left w:val="none" w:sz="0" w:space="0" w:color="auto"/>
            <w:bottom w:val="none" w:sz="0" w:space="0" w:color="auto"/>
            <w:right w:val="none" w:sz="0" w:space="0" w:color="auto"/>
          </w:divBdr>
        </w:div>
      </w:divsChild>
    </w:div>
    <w:div w:id="1131047348">
      <w:bodyDiv w:val="1"/>
      <w:marLeft w:val="0"/>
      <w:marRight w:val="0"/>
      <w:marTop w:val="0"/>
      <w:marBottom w:val="0"/>
      <w:divBdr>
        <w:top w:val="none" w:sz="0" w:space="0" w:color="auto"/>
        <w:left w:val="none" w:sz="0" w:space="0" w:color="auto"/>
        <w:bottom w:val="none" w:sz="0" w:space="0" w:color="auto"/>
        <w:right w:val="none" w:sz="0" w:space="0" w:color="auto"/>
      </w:divBdr>
      <w:divsChild>
        <w:div w:id="5401909">
          <w:marLeft w:val="0"/>
          <w:marRight w:val="0"/>
          <w:marTop w:val="0"/>
          <w:marBottom w:val="225"/>
          <w:divBdr>
            <w:top w:val="none" w:sz="0" w:space="0" w:color="auto"/>
            <w:left w:val="none" w:sz="0" w:space="0" w:color="auto"/>
            <w:bottom w:val="none" w:sz="0" w:space="0" w:color="auto"/>
            <w:right w:val="none" w:sz="0" w:space="0" w:color="auto"/>
          </w:divBdr>
        </w:div>
      </w:divsChild>
    </w:div>
    <w:div w:id="1197238668">
      <w:bodyDiv w:val="1"/>
      <w:marLeft w:val="0"/>
      <w:marRight w:val="0"/>
      <w:marTop w:val="0"/>
      <w:marBottom w:val="0"/>
      <w:divBdr>
        <w:top w:val="none" w:sz="0" w:space="0" w:color="auto"/>
        <w:left w:val="none" w:sz="0" w:space="0" w:color="auto"/>
        <w:bottom w:val="none" w:sz="0" w:space="0" w:color="auto"/>
        <w:right w:val="none" w:sz="0" w:space="0" w:color="auto"/>
      </w:divBdr>
      <w:divsChild>
        <w:div w:id="1063681144">
          <w:marLeft w:val="0"/>
          <w:marRight w:val="0"/>
          <w:marTop w:val="0"/>
          <w:marBottom w:val="225"/>
          <w:divBdr>
            <w:top w:val="none" w:sz="0" w:space="0" w:color="auto"/>
            <w:left w:val="none" w:sz="0" w:space="0" w:color="auto"/>
            <w:bottom w:val="none" w:sz="0" w:space="0" w:color="auto"/>
            <w:right w:val="none" w:sz="0" w:space="0" w:color="auto"/>
          </w:divBdr>
        </w:div>
      </w:divsChild>
    </w:div>
    <w:div w:id="1210259439">
      <w:bodyDiv w:val="1"/>
      <w:marLeft w:val="0"/>
      <w:marRight w:val="0"/>
      <w:marTop w:val="0"/>
      <w:marBottom w:val="0"/>
      <w:divBdr>
        <w:top w:val="none" w:sz="0" w:space="0" w:color="auto"/>
        <w:left w:val="none" w:sz="0" w:space="0" w:color="auto"/>
        <w:bottom w:val="none" w:sz="0" w:space="0" w:color="auto"/>
        <w:right w:val="none" w:sz="0" w:space="0" w:color="auto"/>
      </w:divBdr>
      <w:divsChild>
        <w:div w:id="1901332082">
          <w:marLeft w:val="0"/>
          <w:marRight w:val="0"/>
          <w:marTop w:val="0"/>
          <w:marBottom w:val="225"/>
          <w:divBdr>
            <w:top w:val="none" w:sz="0" w:space="0" w:color="auto"/>
            <w:left w:val="none" w:sz="0" w:space="0" w:color="auto"/>
            <w:bottom w:val="none" w:sz="0" w:space="0" w:color="auto"/>
            <w:right w:val="none" w:sz="0" w:space="0" w:color="auto"/>
          </w:divBdr>
        </w:div>
      </w:divsChild>
    </w:div>
    <w:div w:id="1397825381">
      <w:bodyDiv w:val="1"/>
      <w:marLeft w:val="0"/>
      <w:marRight w:val="0"/>
      <w:marTop w:val="0"/>
      <w:marBottom w:val="0"/>
      <w:divBdr>
        <w:top w:val="none" w:sz="0" w:space="0" w:color="auto"/>
        <w:left w:val="none" w:sz="0" w:space="0" w:color="auto"/>
        <w:bottom w:val="none" w:sz="0" w:space="0" w:color="auto"/>
        <w:right w:val="none" w:sz="0" w:space="0" w:color="auto"/>
      </w:divBdr>
      <w:divsChild>
        <w:div w:id="1910992762">
          <w:marLeft w:val="0"/>
          <w:marRight w:val="0"/>
          <w:marTop w:val="0"/>
          <w:marBottom w:val="225"/>
          <w:divBdr>
            <w:top w:val="none" w:sz="0" w:space="0" w:color="auto"/>
            <w:left w:val="none" w:sz="0" w:space="0" w:color="auto"/>
            <w:bottom w:val="none" w:sz="0" w:space="0" w:color="auto"/>
            <w:right w:val="none" w:sz="0" w:space="0" w:color="auto"/>
          </w:divBdr>
        </w:div>
      </w:divsChild>
    </w:div>
    <w:div w:id="1405688568">
      <w:bodyDiv w:val="1"/>
      <w:marLeft w:val="0"/>
      <w:marRight w:val="0"/>
      <w:marTop w:val="0"/>
      <w:marBottom w:val="0"/>
      <w:divBdr>
        <w:top w:val="none" w:sz="0" w:space="0" w:color="auto"/>
        <w:left w:val="none" w:sz="0" w:space="0" w:color="auto"/>
        <w:bottom w:val="none" w:sz="0" w:space="0" w:color="auto"/>
        <w:right w:val="none" w:sz="0" w:space="0" w:color="auto"/>
      </w:divBdr>
      <w:divsChild>
        <w:div w:id="1528368111">
          <w:marLeft w:val="0"/>
          <w:marRight w:val="0"/>
          <w:marTop w:val="0"/>
          <w:marBottom w:val="225"/>
          <w:divBdr>
            <w:top w:val="none" w:sz="0" w:space="0" w:color="auto"/>
            <w:left w:val="none" w:sz="0" w:space="0" w:color="auto"/>
            <w:bottom w:val="none" w:sz="0" w:space="0" w:color="auto"/>
            <w:right w:val="none" w:sz="0" w:space="0" w:color="auto"/>
          </w:divBdr>
        </w:div>
      </w:divsChild>
    </w:div>
    <w:div w:id="1559633411">
      <w:bodyDiv w:val="1"/>
      <w:marLeft w:val="0"/>
      <w:marRight w:val="0"/>
      <w:marTop w:val="0"/>
      <w:marBottom w:val="0"/>
      <w:divBdr>
        <w:top w:val="none" w:sz="0" w:space="0" w:color="auto"/>
        <w:left w:val="none" w:sz="0" w:space="0" w:color="auto"/>
        <w:bottom w:val="none" w:sz="0" w:space="0" w:color="auto"/>
        <w:right w:val="none" w:sz="0" w:space="0" w:color="auto"/>
      </w:divBdr>
      <w:divsChild>
        <w:div w:id="616108214">
          <w:marLeft w:val="0"/>
          <w:marRight w:val="0"/>
          <w:marTop w:val="0"/>
          <w:marBottom w:val="225"/>
          <w:divBdr>
            <w:top w:val="none" w:sz="0" w:space="0" w:color="auto"/>
            <w:left w:val="none" w:sz="0" w:space="0" w:color="auto"/>
            <w:bottom w:val="none" w:sz="0" w:space="0" w:color="auto"/>
            <w:right w:val="none" w:sz="0" w:space="0" w:color="auto"/>
          </w:divBdr>
        </w:div>
      </w:divsChild>
    </w:div>
    <w:div w:id="1674408301">
      <w:bodyDiv w:val="1"/>
      <w:marLeft w:val="0"/>
      <w:marRight w:val="0"/>
      <w:marTop w:val="0"/>
      <w:marBottom w:val="0"/>
      <w:divBdr>
        <w:top w:val="none" w:sz="0" w:space="0" w:color="auto"/>
        <w:left w:val="none" w:sz="0" w:space="0" w:color="auto"/>
        <w:bottom w:val="none" w:sz="0" w:space="0" w:color="auto"/>
        <w:right w:val="none" w:sz="0" w:space="0" w:color="auto"/>
      </w:divBdr>
      <w:divsChild>
        <w:div w:id="1060984223">
          <w:marLeft w:val="0"/>
          <w:marRight w:val="0"/>
          <w:marTop w:val="0"/>
          <w:marBottom w:val="225"/>
          <w:divBdr>
            <w:top w:val="none" w:sz="0" w:space="0" w:color="auto"/>
            <w:left w:val="none" w:sz="0" w:space="0" w:color="auto"/>
            <w:bottom w:val="none" w:sz="0" w:space="0" w:color="auto"/>
            <w:right w:val="none" w:sz="0" w:space="0" w:color="auto"/>
          </w:divBdr>
        </w:div>
      </w:divsChild>
    </w:div>
    <w:div w:id="1767117841">
      <w:bodyDiv w:val="1"/>
      <w:marLeft w:val="0"/>
      <w:marRight w:val="0"/>
      <w:marTop w:val="0"/>
      <w:marBottom w:val="0"/>
      <w:divBdr>
        <w:top w:val="none" w:sz="0" w:space="0" w:color="auto"/>
        <w:left w:val="none" w:sz="0" w:space="0" w:color="auto"/>
        <w:bottom w:val="none" w:sz="0" w:space="0" w:color="auto"/>
        <w:right w:val="none" w:sz="0" w:space="0" w:color="auto"/>
      </w:divBdr>
      <w:divsChild>
        <w:div w:id="1322847949">
          <w:marLeft w:val="0"/>
          <w:marRight w:val="0"/>
          <w:marTop w:val="0"/>
          <w:marBottom w:val="225"/>
          <w:divBdr>
            <w:top w:val="none" w:sz="0" w:space="0" w:color="auto"/>
            <w:left w:val="none" w:sz="0" w:space="0" w:color="auto"/>
            <w:bottom w:val="none" w:sz="0" w:space="0" w:color="auto"/>
            <w:right w:val="none" w:sz="0" w:space="0" w:color="auto"/>
          </w:divBdr>
        </w:div>
      </w:divsChild>
    </w:div>
    <w:div w:id="1872106179">
      <w:bodyDiv w:val="1"/>
      <w:marLeft w:val="0"/>
      <w:marRight w:val="0"/>
      <w:marTop w:val="0"/>
      <w:marBottom w:val="0"/>
      <w:divBdr>
        <w:top w:val="none" w:sz="0" w:space="0" w:color="auto"/>
        <w:left w:val="none" w:sz="0" w:space="0" w:color="auto"/>
        <w:bottom w:val="none" w:sz="0" w:space="0" w:color="auto"/>
        <w:right w:val="none" w:sz="0" w:space="0" w:color="auto"/>
      </w:divBdr>
      <w:divsChild>
        <w:div w:id="2094885927">
          <w:marLeft w:val="0"/>
          <w:marRight w:val="0"/>
          <w:marTop w:val="0"/>
          <w:marBottom w:val="225"/>
          <w:divBdr>
            <w:top w:val="none" w:sz="0" w:space="0" w:color="auto"/>
            <w:left w:val="none" w:sz="0" w:space="0" w:color="auto"/>
            <w:bottom w:val="none" w:sz="0" w:space="0" w:color="auto"/>
            <w:right w:val="none" w:sz="0" w:space="0" w:color="auto"/>
          </w:divBdr>
        </w:div>
      </w:divsChild>
    </w:div>
    <w:div w:id="2111923697">
      <w:bodyDiv w:val="1"/>
      <w:marLeft w:val="0"/>
      <w:marRight w:val="0"/>
      <w:marTop w:val="0"/>
      <w:marBottom w:val="0"/>
      <w:divBdr>
        <w:top w:val="none" w:sz="0" w:space="0" w:color="auto"/>
        <w:left w:val="none" w:sz="0" w:space="0" w:color="auto"/>
        <w:bottom w:val="none" w:sz="0" w:space="0" w:color="auto"/>
        <w:right w:val="none" w:sz="0" w:space="0" w:color="auto"/>
      </w:divBdr>
      <w:divsChild>
        <w:div w:id="21968206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C2EE9DE76456DE16A2DFAC22B216573F505C9895BE2F0EA3FE1B0381419D724FBE8FB2FAC676F10997AFC63FQFQAL" TargetMode="External"/><Relationship Id="rId3" Type="http://schemas.openxmlformats.org/officeDocument/2006/relationships/settings" Target="settings.xml"/><Relationship Id="rId7" Type="http://schemas.openxmlformats.org/officeDocument/2006/relationships/hyperlink" Target="consultantplus://offline/ref=DDC2EE9DE76456DE16A2DFAC22B216573F505C9F94B72F0EA3FE1B0381419D725DBED7BEFBC768F00182F99779AD9120137F0F2921AE1442Q1Q4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DC2EE9DE76456DE16A2DFAC22B2165738585F9B9AB22F0EA3FE1B0381419D725DBED7BDF8C76EFA5CD8E99330F99D3F1260112A3FAEQ1Q6L" TargetMode="External"/><Relationship Id="rId11" Type="http://schemas.openxmlformats.org/officeDocument/2006/relationships/fontTable" Target="fontTable.xml"/><Relationship Id="rId5" Type="http://schemas.openxmlformats.org/officeDocument/2006/relationships/hyperlink" Target="file:///C:\Users\Eduard\Downloads\%D0%9F%D0%A0%D0%9E%D0%95%D0%9A%D0%A2%20.doc" TargetMode="External"/><Relationship Id="rId10" Type="http://schemas.openxmlformats.org/officeDocument/2006/relationships/hyperlink" Target="file:///C:\Users\Eduard\Downloads\%D0%9F%D0%A0%D0%9E%D0%95%D0%9A%D0%A2%20.doc" TargetMode="External"/><Relationship Id="rId4" Type="http://schemas.openxmlformats.org/officeDocument/2006/relationships/webSettings" Target="webSettings.xml"/><Relationship Id="rId9" Type="http://schemas.openxmlformats.org/officeDocument/2006/relationships/hyperlink" Target="file:///C:\Users\Eduard\Downloads\%D0%9F%D0%A0%D0%9E%D0%95%D0%9A%D0%A2%2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3988</Words>
  <Characters>22737</Characters>
  <Application>Microsoft Office Word</Application>
  <DocSecurity>0</DocSecurity>
  <Lines>189</Lines>
  <Paragraphs>53</Paragraphs>
  <ScaleCrop>false</ScaleCrop>
  <Company>SPecialiST RePack</Company>
  <LinksUpToDate>false</LinksUpToDate>
  <CharactersWithSpaces>26672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16</cp:revision>
  <dcterms:created xsi:type="dcterms:W3CDTF">2023-08-21T08:51:00Z</dcterms:created>
  <dcterms:modified xsi:type="dcterms:W3CDTF">2023-08-21T09:21:00Z</dcterms:modified>
</cp:coreProperties>
</file>