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1352B0" w:rsidTr="001352B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2B0" w:rsidRDefault="001352B0">
            <w:pPr>
              <w:rPr>
                <w:sz w:val="24"/>
                <w:szCs w:val="24"/>
              </w:rPr>
            </w:pPr>
          </w:p>
        </w:tc>
      </w:tr>
    </w:tbl>
    <w:p w:rsidR="001352B0" w:rsidRDefault="001352B0" w:rsidP="001352B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МЕСТНЫЕ НОРМАТИВЫ ГРАДОСТРОИТЕЛЬНОГО ПРОЕКТИРОВАНИЯ ВЫШНЕДЕРЕВЕНСКОГО СЕЛЬСОВЕТА ЛЬГОВСКОГО РАЙОНА КУРСКОЙ ОБЛАСТИ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Местные нормативы градостроительного проектирования ВЫШНЕДЕРЕВЕНСКОГО сельсовета ЛЬГОВСКОГО РАЙОНА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1352B0" w:rsidTr="001352B0">
        <w:trPr>
          <w:tblCellSpacing w:w="0" w:type="dxa"/>
        </w:trPr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НОРМАТИВЫ ГРАДОСТРОИТЕЛЬНОГО ПРОЕКТИРОВАНИЯ</w:t>
            </w:r>
            <w:r>
              <w:rPr>
                <w:rStyle w:val="a4"/>
                <w:i/>
                <w:iCs/>
                <w:sz w:val="18"/>
                <w:szCs w:val="18"/>
              </w:rPr>
              <w:t> 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Ш И Ф Р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2017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Местные нормативы градостроительного проектирования ВЫШНЕДЕРЕВЕНСКОГО сельсовета ЛЬГОВСКОГО РАЙОНА курской ОБЛАСТИ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1352B0" w:rsidTr="001352B0">
        <w:trPr>
          <w:tblCellSpacing w:w="0" w:type="dxa"/>
        </w:trPr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НОРМАТИВЫ ГРАДОСТРОИТЕЛЬНОГО ПРОЕКТИРОВАНИЯ</w:t>
            </w:r>
            <w:r>
              <w:rPr>
                <w:rStyle w:val="a4"/>
                <w:i/>
                <w:iCs/>
                <w:sz w:val="18"/>
                <w:szCs w:val="18"/>
              </w:rPr>
              <w:t> 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Ш И Ф Р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Содержание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5"/>
        <w:gridCol w:w="6150"/>
        <w:gridCol w:w="1515"/>
      </w:tblGrid>
      <w:tr w:rsidR="001352B0" w:rsidTr="001352B0">
        <w:trPr>
          <w:tblHeader/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Обозначение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Примечание</w:t>
            </w:r>
          </w:p>
        </w:tc>
      </w:tr>
      <w:tr w:rsidR="001352B0" w:rsidTr="001352B0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352B0" w:rsidTr="001352B0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документации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352B0" w:rsidTr="001352B0">
        <w:trPr>
          <w:tblCellSpacing w:w="0" w:type="dxa"/>
        </w:trPr>
        <w:tc>
          <w:tcPr>
            <w:tcW w:w="21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Нормативно-правовая база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Расположение в системе расселения и административно-территориальное устройство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Природно-климатические условия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Система учреждений обслуживания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II. Объекты здравоохранения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III. Объекты физической культуры и 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IV. Объекты культуры и искусства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V. Объекты образования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VII. Объекты автомобильного транспорта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VIII. Объекты электроснабжения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IX. Объекты теплоснабжения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X. Объекты газоснабжения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XI. Объекты водоснабжения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XII. Объекты водоотведения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XV. Объекты рекреационного назначения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документации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2040"/>
        <w:gridCol w:w="5385"/>
        <w:gridCol w:w="1695"/>
      </w:tblGrid>
      <w:tr w:rsidR="001352B0" w:rsidTr="001352B0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/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тома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2"/>
              <w:spacing w:before="0"/>
            </w:pPr>
            <w: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1352B0" w:rsidTr="001352B0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Основная часть проекта. Правила и область применения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книга, 2 экз.</w:t>
            </w:r>
          </w:p>
        </w:tc>
      </w:tr>
      <w:tr w:rsidR="001352B0" w:rsidTr="001352B0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книга, 2 экз.</w:t>
            </w:r>
          </w:p>
        </w:tc>
      </w:tr>
      <w:tr w:rsidR="001352B0" w:rsidTr="001352B0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Материалы проекта, передаваемые заказчику на электронных </w:t>
            </w:r>
            <w:r>
              <w:rPr>
                <w:rStyle w:val="a4"/>
                <w:sz w:val="18"/>
                <w:szCs w:val="18"/>
              </w:rPr>
              <w:lastRenderedPageBreak/>
              <w:t>носителях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1352B0" w:rsidTr="001352B0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 – диск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виде файлов в формате Acrobat Reader;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диска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выполнен в соответствии с действующими нормами, правилами и стандартами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ГАП                                                                                                                          _________________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Нормативно-правовая база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Федеральные законы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Градостроительный кодекс Российской Федерации от 29 декабря 2004 года № 190-ФЗ;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Земельный кодекс Российской Федерации от 25 октября 2001 года № 136-ФЗ;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Жилищный кодекс Российской Федерации от 29 декабря 2004 года № 188-ФЗ;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Водный кодекс Российской Федерации от 3 июня 2006 года № 74-ФЗ;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Лесной кодекс Российской Федерации от 4 декабря 2006 года № 200-ФЗ;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14 марта 1995 года № 33-ФЗ «Об особо охраняемых природных территориях»;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12 января 1996 года № 8-ФЗ «О погребении и похоронном деле»;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24 июня 1998 года № 89-ФЗ «Об отходах производства и потребления»;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30 марта 1999 года № 52-Ф3 «О санитарно-эпидемиологическом благополучии населения»;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4 мая 1999 года № 96-Ф3 «Об охране атмосферного воздуха»;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10 января 2002 года № 7-ФЗ «Об охране окружающей среды»;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27 декабря 2002 года № 184-ФЗ «О техническом регулировании»;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4 декабря 2007 № 329 «О физической культуре и спорте»;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27 июля 2010 года № 190-ФЗ «О теплоснабжении»;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7 декабря 2011 года № 416-ФЗ «О водоснабжении и водоотведении».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Иные нормативные акты Российской Федерации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ü    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3 июля 1996 года № 1063-р «О социальных нормативах и нормах»;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Законодательные и нормативные акты Курской области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01.12.2004 № 60-ЗКО «О границах муниципальных образований Курской области»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31.10.2006 № 76-ЗКО «О градостроительной деятельности в Курской  области»;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22 ноября 2007 года № 118-ЗКО «Об особо охраняемых природных территориях Курской области».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Строительные нормы и правила (СНиП). Своды правил по проектированию и строительству (СП)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  Приказом Министерства спорта Российской Федерации от 25 мая 2016 г. №586.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hyperlink r:id="rId5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Правила</w:t>
        </w:r>
      </w:hyperlink>
      <w:r>
        <w:rPr>
          <w:rFonts w:ascii="Tahoma" w:hAnsi="Tahoma" w:cs="Tahoma"/>
          <w:color w:val="000000"/>
          <w:sz w:val="18"/>
          <w:szCs w:val="18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СанПиН 42-128-4690-88</w:t>
        </w:r>
      </w:hyperlink>
      <w:r>
        <w:rPr>
          <w:rFonts w:ascii="Tahoma" w:hAnsi="Tahoma" w:cs="Tahoma"/>
          <w:color w:val="000000"/>
          <w:sz w:val="18"/>
          <w:szCs w:val="18"/>
        </w:rPr>
        <w:t>. Санитарные правила содержания территорий населенных мест.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СанПиН 2.1.2882-11</w:t>
        </w:r>
      </w:hyperlink>
      <w:r>
        <w:rPr>
          <w:rFonts w:ascii="Tahoma" w:hAnsi="Tahoma" w:cs="Tahoma"/>
          <w:color w:val="000000"/>
          <w:sz w:val="18"/>
          <w:szCs w:val="18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8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СП 2.1.7.1038-01</w:t>
        </w:r>
      </w:hyperlink>
      <w:r>
        <w:rPr>
          <w:rFonts w:ascii="Tahoma" w:hAnsi="Tahoma" w:cs="Tahoma"/>
          <w:color w:val="000000"/>
          <w:sz w:val="18"/>
          <w:szCs w:val="18"/>
        </w:rPr>
        <w:t>. Гигиенические требования к устройству и содержанию полигонов для твердых бытовых отходов.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131.13330.2012 Строительная климатология. Актуализированная редакция СНиП 23-01-99*.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Цели и задачи Местных нормативов градостроительного проектирования (МНГП)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Местные нормативы градостроительного проектирования Вышнедеревенского сельсовета Льговского 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 Закона Курской  области от 31.10.2006 № 76-ЗКО «О градостроительной деятельности в Курской области», населения Вышнедеревенского сельсовета и расчетные показатели максимально допустимого уровня территориальной доступности таких объектов для населения Вышнедеревенского сельсовета.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электро-, тепло-, газо- и водоснабжение населения, водоотведение;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автомобильные дороги местного значения;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иные области в связи с решением вопросов местного значения поселения, городского округа.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Законом Курской области от 31.10.2006 №76-ЗКО «О градостроительной деятельности в Курской  области» статья 16  установлены объекты местного значения для поселения.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объекты, находящиеся в собственности муниципального образования;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объекты водоотведения, электро-, тепло-, газо-, водоснабжения населения муниципального образования;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автомобильные дороги и сооружения на них в границах муниципального образования;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данном проекте Местных нормативов градостроительного проектирования Вышнедеревенского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 требованиям технических регламентов.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проекта МНГП являются: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проведение комплексного анализа территории муниципального образования;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расчет с учетом проведенного анализа: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показателей территориальной доступности таких объектов для населения муниципального образования;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Расположение и природно-климатические условия Вышнедеревенского сельсовета Льговского района Курской области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Расположение в системе расселения и административно-территориальное устройство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 – Сведения о населенных пунктах Вышнедеревенского сельсовета Льговского района Курской области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2880"/>
        <w:gridCol w:w="3060"/>
        <w:gridCol w:w="2595"/>
      </w:tblGrid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на 01.01.2017 г.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до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  МО, км.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с.Вышние Деревеньки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с.Кромские Быки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с.Черемошки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с.Цуканово-Бобрик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д.Левшинка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Орловка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с.Малеевка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с.Стремоухово Бобрик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с.Левшинка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д.Булгаковка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п.Яблоневый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с.Дурово-Бобрик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д.Семеновка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д.Арсеньевка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д.Любомировка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п.ст.Деревеньки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с.Букреево-Бобрик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д.Красная Новь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д.Милютино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д.Александровка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д.Дьяковка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д.Екатериновка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д.Анастасьевка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х.Веселая Поляна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х.Беженцев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д.Шапошниково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д.Васильевка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х.Волжин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2386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Природно-климатические условия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схематической карте климатического районирования для строительства территории России Вышнедеревенский сельсовет приурочен к району II, подрайону II В.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Средняя температура самого жаркого месяца (июля) составляет +19,4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 Средняя температура самого холодного месяца (январь) составляет -8,1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Абсолютный максимум температуры воздуха +32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С, абсолютный минимум -26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Направления господствующих ветров в среднем за год видны из следующей таблицы (в % от общего числа наблюдений).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2 - Повторяемость направления ветра (средняя многолетняя роза ветров)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4"/>
        <w:gridCol w:w="1592"/>
        <w:gridCol w:w="1591"/>
        <w:gridCol w:w="1591"/>
        <w:gridCol w:w="1820"/>
        <w:gridCol w:w="1137"/>
        <w:gridCol w:w="1591"/>
        <w:gridCol w:w="1591"/>
        <w:gridCol w:w="1591"/>
        <w:gridCol w:w="2502"/>
      </w:tblGrid>
      <w:tr w:rsidR="001352B0" w:rsidTr="001352B0">
        <w:trPr>
          <w:tblCellSpacing w:w="0" w:type="dxa"/>
        </w:trPr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Годовое направление ветра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СВ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ЮВ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Ю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ЮЗ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СЗ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Штиль</w:t>
            </w:r>
          </w:p>
        </w:tc>
      </w:tr>
      <w:tr w:rsidR="001352B0" w:rsidTr="001352B0">
        <w:trPr>
          <w:tblCellSpacing w:w="0" w:type="dxa"/>
        </w:trPr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Устойчивый снежный покров образуется в первой декаде декабря и держится в среднем 110 дней. Высота снежного покрова по снегосъемкам на последний день декады (поле) наибольшая – 45,7 см.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среднем за период декабрь-февраль наблюдается по 3 дня с оттепелью. Запасы воды в снежном покрове, промерзание почвы и ее увлажнение в значительной степени определяют величину весеннего стока, а следовательно, и гидрологический режим рек.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конце марта (в среднем 25-е число) происходит переход среднесуточной температуры воздуха через 0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 и начинается разрушение снежного покрова. В конце апреля месяца (в среднем 29 апреля) – через +10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 Продолжительность периода с температурой воздуха выше 10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 составляет в среднем 148 дней. Среднегодовое количество осадков составляет 563 мм. Количество выпадающих осадков за отдельные месяцы может значительно отклоняться от среднего многолетнего значения.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таблицах 3-12 приводятся метеорологические характеристики, рассчитанные по данным многолетних наблюдений на метеорологической станции Льгов.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Метеорологические характеристики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3 - Даты наступления среднесуточной температуры воздуха выше и ниже определенных пределов и число дней с температурой, превышающей эти пределы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5"/>
        <w:gridCol w:w="750"/>
        <w:gridCol w:w="705"/>
        <w:gridCol w:w="690"/>
        <w:gridCol w:w="735"/>
        <w:gridCol w:w="750"/>
      </w:tblGrid>
      <w:tr w:rsidR="001352B0" w:rsidTr="001352B0">
        <w:trPr>
          <w:tblHeader/>
          <w:tblCellSpacing w:w="0" w:type="dxa"/>
        </w:trPr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Даты наступления температуры воздуха, выше и ниже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-5</w:t>
            </w:r>
            <w:r>
              <w:rPr>
                <w:rStyle w:val="a4"/>
                <w:color w:val="FFFFFF"/>
                <w:sz w:val="18"/>
                <w:szCs w:val="18"/>
                <w:vertAlign w:val="superscript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</w:rPr>
              <w:t>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  <w:vertAlign w:val="superscript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</w:rPr>
              <w:t>С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+5</w:t>
            </w:r>
            <w:r>
              <w:rPr>
                <w:rStyle w:val="a4"/>
                <w:color w:val="FFFFFF"/>
                <w:sz w:val="18"/>
                <w:szCs w:val="18"/>
                <w:vertAlign w:val="superscript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</w:rPr>
              <w:t>С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+10</w:t>
            </w:r>
            <w:r>
              <w:rPr>
                <w:rStyle w:val="a4"/>
                <w:color w:val="FFFFFF"/>
                <w:sz w:val="18"/>
                <w:szCs w:val="18"/>
                <w:vertAlign w:val="superscript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</w:rPr>
              <w:t>С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+15</w:t>
            </w:r>
            <w:r>
              <w:rPr>
                <w:rStyle w:val="a4"/>
                <w:color w:val="FFFFFF"/>
                <w:sz w:val="18"/>
                <w:szCs w:val="18"/>
                <w:vertAlign w:val="superscript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</w:rPr>
              <w:t>С</w:t>
            </w:r>
          </w:p>
        </w:tc>
      </w:tr>
      <w:tr w:rsidR="001352B0" w:rsidTr="001352B0">
        <w:trPr>
          <w:tblCellSpacing w:w="0" w:type="dxa"/>
        </w:trPr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Весной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8/III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25/III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11/IV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29IV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21/V</w:t>
            </w:r>
          </w:p>
        </w:tc>
      </w:tr>
      <w:tr w:rsidR="001352B0" w:rsidTr="001352B0">
        <w:trPr>
          <w:tblCellSpacing w:w="0" w:type="dxa"/>
        </w:trPr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Осенью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10/XII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13/XI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25/IX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3/IX</w:t>
            </w:r>
          </w:p>
        </w:tc>
      </w:tr>
      <w:tr w:rsidR="001352B0" w:rsidTr="001352B0">
        <w:trPr>
          <w:tblCellSpacing w:w="0" w:type="dxa"/>
        </w:trPr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дней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4 - Глубина промерзания почвы зимой (см)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855"/>
        <w:gridCol w:w="855"/>
        <w:gridCol w:w="855"/>
        <w:gridCol w:w="855"/>
        <w:gridCol w:w="855"/>
        <w:gridCol w:w="1425"/>
        <w:gridCol w:w="1485"/>
        <w:gridCol w:w="1455"/>
      </w:tblGrid>
      <w:tr w:rsidR="001352B0" w:rsidTr="001352B0">
        <w:trPr>
          <w:tblCellSpacing w:w="0" w:type="dxa"/>
        </w:trPr>
        <w:tc>
          <w:tcPr>
            <w:tcW w:w="510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Месяцы</w:t>
            </w: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 максимальных за зиму</w:t>
            </w:r>
          </w:p>
        </w:tc>
      </w:tr>
      <w:tr w:rsidR="001352B0" w:rsidTr="001352B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III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Средняя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Наименьшая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Наибольшая</w:t>
            </w:r>
          </w:p>
        </w:tc>
      </w:tr>
      <w:tr w:rsidR="001352B0" w:rsidTr="001352B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5 - Даты наступления и прекращения заморозков и устойчивых морозов и продолжительность безморозного периода и устойчивых морозов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1590"/>
        <w:gridCol w:w="1590"/>
        <w:gridCol w:w="1590"/>
        <w:gridCol w:w="1605"/>
        <w:gridCol w:w="1605"/>
      </w:tblGrid>
      <w:tr w:rsidR="001352B0" w:rsidTr="001352B0">
        <w:trPr>
          <w:tblCellSpacing w:w="0" w:type="dxa"/>
        </w:trPr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Средняя дата наступления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Средняя дата окончания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Продолжительность</w:t>
            </w:r>
          </w:p>
        </w:tc>
      </w:tr>
      <w:tr w:rsidR="001352B0" w:rsidTr="001352B0">
        <w:trPr>
          <w:tblCellSpacing w:w="0" w:type="dxa"/>
        </w:trPr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Заморозков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Устойчивых морозов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Заморозков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Устойчивых морозов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Безморозного периода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Устойчивых морозов</w:t>
            </w:r>
          </w:p>
        </w:tc>
      </w:tr>
      <w:tr w:rsidR="001352B0" w:rsidTr="001352B0">
        <w:trPr>
          <w:tblCellSpacing w:w="0" w:type="dxa"/>
        </w:trPr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1/X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3/XII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1/V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3/III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6 - Средняя месячная и годовая температура воздуха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1352B0" w:rsidTr="001352B0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</w:tc>
      </w:tr>
      <w:tr w:rsidR="001352B0" w:rsidTr="001352B0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7 - Средняя относительная влажность воздуха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4"/>
      </w:tblGrid>
      <w:tr w:rsidR="001352B0" w:rsidTr="001352B0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</w:tc>
      </w:tr>
      <w:tr w:rsidR="001352B0" w:rsidTr="001352B0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8 - Даты образования и разрушения устойчивого снежного покрова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0"/>
        <w:gridCol w:w="3189"/>
        <w:gridCol w:w="3191"/>
      </w:tblGrid>
      <w:tr w:rsidR="001352B0" w:rsidTr="001352B0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Средняя дата образования устойчивого снежного покрова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Средняя дата разрушения устойчивого снежного покрова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Продолжительность залегания устойчивого снежного покрова</w:t>
            </w:r>
          </w:p>
        </w:tc>
      </w:tr>
      <w:tr w:rsidR="001352B0" w:rsidTr="001352B0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 XII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25/III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9 - Высота снежного покрова по снегосъемкам на последний день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631"/>
        <w:gridCol w:w="646"/>
        <w:gridCol w:w="631"/>
        <w:gridCol w:w="631"/>
        <w:gridCol w:w="646"/>
        <w:gridCol w:w="631"/>
        <w:gridCol w:w="631"/>
        <w:gridCol w:w="646"/>
        <w:gridCol w:w="631"/>
        <w:gridCol w:w="631"/>
        <w:gridCol w:w="646"/>
        <w:gridCol w:w="631"/>
        <w:gridCol w:w="661"/>
        <w:gridCol w:w="646"/>
      </w:tblGrid>
      <w:tr w:rsidR="001352B0" w:rsidTr="001352B0">
        <w:trPr>
          <w:tblCellSpacing w:w="0" w:type="dxa"/>
        </w:trPr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III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Наибольшая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 зиму</w:t>
            </w:r>
          </w:p>
        </w:tc>
      </w:tr>
      <w:tr w:rsidR="001352B0" w:rsidTr="001352B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Max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Min</w:t>
            </w:r>
          </w:p>
        </w:tc>
      </w:tr>
      <w:tr w:rsidR="001352B0" w:rsidTr="001352B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10 - Среднее количество осадков (мм) с поправкой на смачивание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640"/>
        <w:gridCol w:w="640"/>
        <w:gridCol w:w="640"/>
        <w:gridCol w:w="419"/>
        <w:gridCol w:w="493"/>
        <w:gridCol w:w="642"/>
        <w:gridCol w:w="643"/>
        <w:gridCol w:w="640"/>
        <w:gridCol w:w="566"/>
        <w:gridCol w:w="567"/>
        <w:gridCol w:w="568"/>
        <w:gridCol w:w="848"/>
        <w:gridCol w:w="848"/>
        <w:gridCol w:w="701"/>
      </w:tblGrid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XI-III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IV-X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</w:tc>
      </w:tr>
      <w:tr w:rsidR="001352B0" w:rsidTr="001352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11 - Средняя месячная и годовая скорость ветра(м/сек)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1352B0" w:rsidTr="001352B0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</w:tc>
      </w:tr>
      <w:tr w:rsidR="001352B0" w:rsidTr="001352B0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12 - Среднемесячные и годовые характеристики температуры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1352B0" w:rsidTr="001352B0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</w:tc>
      </w:tr>
      <w:tr w:rsidR="001352B0" w:rsidTr="001352B0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Рельеф, гидрография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Вышнедеревенский сельсовет расположен в южной части Среднерусской возвышенности в районе водораздела рек Апока, Бык, Бобрик. Для территории сельсовета характерен сильно волнистый рельеф и значительное расчленение сетью оврагов и балок. На водоразделе преобладают покатые и крупные склоны, которые обусловливают развитие водной эрозии. На территории сельсовета наблюдается значительный перепад высот от 163 м в долинах рек, до 249 м на возвышенностях.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Гидрографическая сеть сельсовета представлена реками Апока, Бык, Бобрик, сетью мелких озер, прудов и ручьев. Все реки, относятся к Днепровскому бассейну.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Питание рек происходит за счет поверхностных и грунтовых вод. Наибольший сток наблюдается весной, во время таяния снега. В летний период питание рек происходит главным образом за счет грунтовых вод и, периодически, за счет поверхностных.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Замерзание водных объектов сельсовета происходит в конце ноября – начале декабря. Наибольшая толщина льда 40-50 см. Вскрытие рек происходит в основном в период с 26 марта до 2 апреля, весенний ледостав длится 2-5 дней.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Почвы, растительность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Преобладающие почвы на территории Вышнедеревенского сельсовета представлены серыми лесными и черноземными почвами. Вдоль рек распространены луговые почвы. Наибольшее распространение по механическому составу получили среднесуглинистые почвы. Содержание гумуса в почве колеблется от 0,6 до 3,3%.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Почвообразующими породами для почв района являются четвертичные отложения. На плато и пологих склонах водоразделов распространены лессовидные породы, подстилаемые мергелем, на них сформировались дерново-подзолистые почвы, серые лесные почвы, черноземы. Мощность лессовидных отложений 21 м, подстилаются они светло-серыми мергелями мощностью 40 м и темно-серыми мергелями мощностью 49 м. Лессовидные отложения имеют желто-палевую окраску, пористые, обладают хорошей водо- и воздухонепроницаемостью, хорошей водоудерживающей способностью. Во влажном состоянии они липкие, вязкие, пластичные, при подсыхании – грубеют и образовывают комки и глыбы.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Механический состав лессовидных отложений неодинаковый, но наибольшее распространение получили отложения среднесуглинистого межсостава. Они обладают наилучшими водно-физическими свойствами. Распределение фракций в составе отложений можно проследить по результатам анализов механического состава. Лессовидные отложения являются лучшими почвообразующими породами.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характеру растительности район относится к лесостепной зоне. Лес главным образом лиственных пород: дуб, береза, осина, ясень, клен. Общая площадь, покрытая лесом 1002,5 га, лесистость сельсовета составляет 8,7 %.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Минерально-сырьевые ресурсы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Разведанные месторождения полезных ископаемых на территории Вышнедеревенского сельсовета, пригодные для промышленной разработки отсутствуют.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Социально-демографический состав и плотность населения на территории Вышнедеревенского сельсовета Льговского района Курской  области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 – Численность населения в границах Вышнедеревенского сельсовета по данным переписей населения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2835"/>
      </w:tblGrid>
      <w:tr w:rsidR="001352B0" w:rsidTr="001352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тыс.чел.</w:t>
            </w:r>
          </w:p>
        </w:tc>
      </w:tr>
      <w:tr w:rsidR="001352B0" w:rsidTr="001352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4498</w:t>
            </w:r>
          </w:p>
        </w:tc>
      </w:tr>
      <w:tr w:rsidR="001352B0" w:rsidTr="001352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3615</w:t>
            </w:r>
          </w:p>
        </w:tc>
      </w:tr>
      <w:tr w:rsidR="001352B0" w:rsidTr="001352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3 – Динамика численности населения населенных пунктов Вышнедеревенского сельсовета (на начало года)</w:t>
      </w:r>
    </w:p>
    <w:tbl>
      <w:tblPr>
        <w:tblW w:w="7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1853"/>
        <w:gridCol w:w="964"/>
        <w:gridCol w:w="964"/>
        <w:gridCol w:w="964"/>
        <w:gridCol w:w="964"/>
        <w:gridCol w:w="964"/>
      </w:tblGrid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с.Вышние Деревеньки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с.Кромские Быки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с.Черемошки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с.Цуканово-Бобрик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д.Левшинка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Орловка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с.Малеевка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с.Стремоухово Бобрик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с.Левшинка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д.Булгаковка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п.Яблоневый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с.Дурово-Бобрик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д.Семеновка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д.Арсеньевка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д.Любомировка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п.ст.Деревеньки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д.Букреево-Бобрик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д.Красная Новь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д.Милютино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д.Александровка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д.Дьяковка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д.Екатериновка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д.Анастасьевка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х.Веселая Поляна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х.Беженцев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д.Шапошниково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д.Васильевка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х.Волжин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52B0" w:rsidTr="001352B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Всего по поселению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2703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2608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2518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2567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2386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Плотность населения на 01.01.2014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4 – Плотность населения в границах населенных пунктов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5"/>
        <w:gridCol w:w="3285"/>
        <w:gridCol w:w="2790"/>
      </w:tblGrid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в границах кадастровых кварталов, га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населения, чел/га.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с.Вышние Деревеньки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с.Кромские Быки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с.Черемошки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с.Цуканово-Бобрик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1,46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д.Левшинка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Орловка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с.Малеевка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с.Стремоухово Бобрик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0,57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с.Левшинка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д.Булгаковка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п.Яблоневый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с.Дурово-Бобрик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д.Семеновка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д.Арсеньевка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д.Любомировка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п.ст.Деревеньки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0,94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с.Букреево-Бобрик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д.Красная Новь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д.Милютино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д.Александровка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д.Дьяковка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д.Екатериновка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д.Анастасьевка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х.Веселая Поляна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х.Беженцев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д.Шапошниково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д.Васильевка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</w:tr>
      <w:tr w:rsidR="001352B0" w:rsidTr="001352B0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х.Волжин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Система учреждений обслуживания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правило, социально-культурные объекты размещают по принципу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ступенчатости. </w:t>
      </w:r>
      <w:r>
        <w:rPr>
          <w:rFonts w:ascii="Tahoma" w:hAnsi="Tahoma" w:cs="Tahoma"/>
          <w:color w:val="000000"/>
          <w:sz w:val="18"/>
          <w:szCs w:val="18"/>
        </w:rPr>
        <w:t>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поселения с. Вышние-Деревеньки. Учреждения эпизодического пользования преимущественно размещаются в районном центре обслуживания г. Льгова.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I. Объекты муниципального жилищного фонда Вышнедеревенского сельсовета  Льговского района Курской области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Глава 1. Расчетный показатель минимально допустимого уровня обеспеченности жилыми помещениями муниципального жилищного фонда Вышнедеревенского сельсовета, предоставляемыми по договорам социального найма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иных граждан в случаях, предусмотренных законодательством.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Расчетные показатели максимально допустимого уровня территориальной доступности объектов муниципального жилищного фонда Вышнедеревенского сельсовета.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УЧРЕЖДЕНИЯ И ПРЕДПРИЯТИЯ ОБСЛУЖИВАНИЯ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II. Объекты здравоохранения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Вышнедеревенского сельсовета 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1"/>
        <w:gridCol w:w="2147"/>
        <w:gridCol w:w="3034"/>
        <w:gridCol w:w="2373"/>
      </w:tblGrid>
      <w:tr w:rsidR="001352B0" w:rsidTr="001352B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 в смену на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тыс. чел.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18,15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1352B0" w:rsidTr="001352B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Больничные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Коек на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тыс. чел.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Станции скорой </w:t>
            </w:r>
            <w:r>
              <w:rPr>
                <w:sz w:val="18"/>
                <w:szCs w:val="18"/>
              </w:rPr>
              <w:lastRenderedPageBreak/>
              <w:t>медицинской помощи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Специальный автомобиль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тыс. чел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Социальные нормативы и </w:t>
            </w:r>
            <w:r>
              <w:rPr>
                <w:sz w:val="18"/>
                <w:szCs w:val="18"/>
              </w:rPr>
              <w:lastRenderedPageBreak/>
              <w:t>нормы, утвержденные Распоряжением Правительства РФ от 03.07.1996 г. №1063-р (в редакции от 26.01.2017)</w:t>
            </w:r>
          </w:p>
        </w:tc>
      </w:tr>
      <w:tr w:rsidR="001352B0" w:rsidTr="001352B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Аптеки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6,2 тыс. чел. -  в сельских насел. пунктах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тыс. чел. – в городах до 50 тыс. чел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Выдвижные пункты скорой медицинской помощи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 </w:t>
            </w:r>
            <w:r>
              <w:rPr>
                <w:sz w:val="18"/>
                <w:szCs w:val="18"/>
                <w:u w:val="single"/>
              </w:rPr>
              <w:t>автомобиль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5 тыс чел. сельского </w:t>
            </w:r>
            <w:r>
              <w:rPr>
                <w:sz w:val="18"/>
                <w:szCs w:val="18"/>
                <w:u w:val="single"/>
              </w:rPr>
              <w:t>поселения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1352B0" w:rsidTr="001352B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 установлены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0"/>
        <w:gridCol w:w="1980"/>
        <w:gridCol w:w="2415"/>
        <w:gridCol w:w="3120"/>
      </w:tblGrid>
      <w:tr w:rsidR="001352B0" w:rsidTr="001352B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1352B0" w:rsidTr="001352B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 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изменениями и дополнениями от: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III. Объекты физической культуры и спорта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0"/>
        <w:gridCol w:w="1905"/>
        <w:gridCol w:w="2025"/>
        <w:gridCol w:w="3690"/>
      </w:tblGrid>
      <w:tr w:rsidR="001352B0" w:rsidTr="001352B0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площади пола на 1 тыс. чел.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60-80</w:t>
            </w:r>
          </w:p>
        </w:tc>
        <w:tc>
          <w:tcPr>
            <w:tcW w:w="3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1352B0" w:rsidTr="001352B0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Плавательные бассейны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зеркала воды на 1 тыс. чел.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Стадионы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крупный населенный пункт, численностью от 3000 человек, или группу населенных пунктов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IV. Объекты культуры и искусства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8"/>
        <w:gridCol w:w="3085"/>
        <w:gridCol w:w="4848"/>
        <w:gridCol w:w="9479"/>
      </w:tblGrid>
      <w:tr w:rsidR="001352B0" w:rsidTr="001352B0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библиотеки городского поселения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1352B0" w:rsidTr="001352B0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библиотеки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поселения: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стационарная опорная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населенных пунктах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пункт нестационарного обслуживания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музеи городских поселений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25 тыс. человек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1352B0" w:rsidTr="001352B0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музеи сельских поселений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архивы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муниципальный район или городское поселение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352B0" w:rsidTr="001352B0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культурно-досугового типа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Зрительские места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на 1 тыс. жителей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V. Объекты образования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3"/>
        <w:gridCol w:w="1550"/>
        <w:gridCol w:w="1553"/>
        <w:gridCol w:w="4519"/>
        <w:gridCol w:w="200"/>
      </w:tblGrid>
      <w:tr w:rsidR="001352B0" w:rsidTr="001352B0">
        <w:trPr>
          <w:tblCellSpacing w:w="0" w:type="dxa"/>
        </w:trPr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дошкольного образования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в расчете на 100 детей в возрасте от 0 до 7 лет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352B0" w:rsidTr="001352B0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Министерства образования и науки РФ от 4 мая 2016 г. N АК-950/02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методических рекомендациях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352B0" w:rsidTr="001352B0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Городские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шт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352B0" w:rsidTr="001352B0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Сельские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шт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6"/>
        <w:gridCol w:w="1958"/>
        <w:gridCol w:w="1521"/>
        <w:gridCol w:w="4340"/>
      </w:tblGrid>
      <w:tr w:rsidR="001352B0" w:rsidTr="001352B0">
        <w:trPr>
          <w:tblCellSpacing w:w="0" w:type="dxa"/>
        </w:trPr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Объекты общего образования</w:t>
            </w:r>
          </w:p>
        </w:tc>
        <w:tc>
          <w:tcPr>
            <w:tcW w:w="1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в  образовательных организациях в расчете на 100 детей в возрасте от 7 до 18 лет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Министерства образования и науки РФ от 4 мая 2016 г. N АК-950/02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методических рекомендациях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1352B0" w:rsidTr="001352B0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Городское поселение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2"/>
        <w:gridCol w:w="2494"/>
        <w:gridCol w:w="1416"/>
        <w:gridCol w:w="3683"/>
      </w:tblGrid>
      <w:tr w:rsidR="001352B0" w:rsidTr="001352B0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  образование детей</w:t>
            </w:r>
          </w:p>
        </w:tc>
        <w:tc>
          <w:tcPr>
            <w:tcW w:w="25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Министерства образования и науки РФ от 4 мая 2016 г. № АК-950/02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методических рекомендациях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1352B0" w:rsidTr="001352B0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на программах дополнительного образования, реализуемых на базе  образовательных организаций (за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550"/>
        <w:gridCol w:w="1560"/>
        <w:gridCol w:w="1845"/>
        <w:gridCol w:w="2835"/>
      </w:tblGrid>
      <w:tr w:rsidR="001352B0" w:rsidTr="001352B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организации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1352B0" w:rsidTr="001352B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I- II ступень обучения*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500**в городском</w:t>
            </w:r>
            <w:r>
              <w:rPr>
                <w:sz w:val="18"/>
                <w:szCs w:val="18"/>
                <w:u w:val="single"/>
              </w:rPr>
              <w:t> поселении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ступень обучения*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500** в городском </w:t>
            </w:r>
            <w:r>
              <w:rPr>
                <w:sz w:val="18"/>
                <w:szCs w:val="18"/>
                <w:u w:val="single"/>
              </w:rPr>
              <w:t>поселении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дополнительного образования для детей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нормируется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*I ступень (начальное общее образование) — 4 года;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II ступень (основное общее образование) — 5 лет;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III ступень (среднее (полное) общее образование) — 2 года.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VI. Объекты услуг общественного питания, торговли, бытового обслуживания и иных услуг для населения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6"/>
        <w:gridCol w:w="4675"/>
        <w:gridCol w:w="3340"/>
        <w:gridCol w:w="2895"/>
        <w:gridCol w:w="9574"/>
      </w:tblGrid>
      <w:tr w:rsidR="001352B0" w:rsidTr="001352B0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</w:t>
            </w:r>
          </w:p>
        </w:tc>
        <w:tc>
          <w:tcPr>
            <w:tcW w:w="7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торговой площади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городские поселения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общественного питания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бытового обслуживания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мест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связи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банков, операционная касса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касса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тысяч человек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5789"/>
        <w:gridCol w:w="3564"/>
        <w:gridCol w:w="5344"/>
        <w:gridCol w:w="5124"/>
      </w:tblGrid>
      <w:tr w:rsidR="001352B0" w:rsidTr="001352B0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1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1352B0" w:rsidTr="001352B0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общественного питания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бытового обслуживания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связи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VII. Объекты автомобильного транспорта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протяженность транспортной и улично-дорожной сети поселения составляет __91,4_ км, включая улично-дорожную сеть и магистральные дороги. Улично-дорожная сеть составляет _74,1_ км.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площадь территории поселения – 274,6 кв. км. Существующая площадь населенных пунктов составляет 6,18  кв.км.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__11,99_км/км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Затраты времени на передвижение от мест проживания до мест работы для 90% трудящихся (в один конец) не должны превышать30мин. 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Число автомобилей, прибывающих в город-центр (районный центр) из других населенных пунктов  системы расселения, и транзитных определяется специальным расчетом.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Сеть улиц и дорог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VIII. Объекты электроснабжения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жилищно-коммунального сектора - в соответствии с </w:t>
      </w:r>
      <w:hyperlink r:id="rId9" w:tooltip="Инструкция по проектированию городских электрических сетей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РД 34.20.185-94</w:t>
        </w:r>
      </w:hyperlink>
      <w:r>
        <w:rPr>
          <w:rFonts w:ascii="Tahoma" w:hAnsi="Tahoma" w:cs="Tahoma"/>
          <w:color w:val="000000"/>
          <w:sz w:val="18"/>
          <w:szCs w:val="18"/>
        </w:rPr>
        <w:t> "Инструкция по проектированию городских электрических сетей" и СП 31-110-2003 г.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18 - Обоснование укрупненных показателей электропотребления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90"/>
        <w:gridCol w:w="1799"/>
        <w:gridCol w:w="1985"/>
        <w:gridCol w:w="3201"/>
        <w:gridCol w:w="200"/>
      </w:tblGrid>
      <w:tr w:rsidR="001352B0" w:rsidTr="001352B0">
        <w:trPr>
          <w:trHeight w:val="240"/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Категория 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населенного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пункта  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352B0" w:rsidTr="001352B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Электропотребление, кв-ч/год на 1чел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Использование максимума электрической нагрузки, ч/год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352B0" w:rsidTr="001352B0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нормативы градостроительного проектирования, утвержденными   постановлением Администрации Курской области  от 15.11. 2011года №577-па, таблица 43.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352B0" w:rsidTr="001352B0">
        <w:trPr>
          <w:trHeight w:val="1500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Поселки и сельские поселения (без кондиционеров)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352B0" w:rsidTr="001352B0">
        <w:trPr>
          <w:trHeight w:val="240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оборудованные стационарными электроплитами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352B0" w:rsidTr="001352B0">
        <w:trPr>
          <w:trHeight w:val="240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Оборудованные электроплитами (100%)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электроснабжения не нормируется.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 IX. Объекты теплоснабжения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42.13330.2011 "Градостроительство. Планировка и застройка городских и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сельских поселений. Актуализированная редакция СНиП 2.07.01-89*";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131.13330.2012 «Строительная климатология» (актуализированная версия) 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36.13330.2012 "Магистральные трубопроводы";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 452-73 "Нормы отвода земель для магистральных трубопроводов";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60.13330.2012 "Отопление, вентиляция и кондиционирование";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124.13330.2012 "Тепловые сети";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89.13330.2012 "Котельные установки";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41-101-95 "Проектирование тепловых пунктов";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215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92"/>
        <w:gridCol w:w="2584"/>
        <w:gridCol w:w="2154"/>
        <w:gridCol w:w="1938"/>
        <w:gridCol w:w="1938"/>
        <w:gridCol w:w="3230"/>
      </w:tblGrid>
      <w:tr w:rsidR="001352B0" w:rsidTr="001352B0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1352B0" w:rsidTr="001352B0">
        <w:trPr>
          <w:tblCellSpacing w:w="0" w:type="dxa"/>
        </w:trPr>
        <w:tc>
          <w:tcPr>
            <w:tcW w:w="2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 жилых зданий</w:t>
            </w:r>
          </w:p>
        </w:tc>
        <w:tc>
          <w:tcPr>
            <w:tcW w:w="2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температура наружного воздуха для проектирования отопления  , °C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</w:tr>
      <w:tr w:rsidR="001352B0" w:rsidTr="001352B0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1352B0" w:rsidTr="001352B0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1352B0" w:rsidTr="001352B0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4-6-этажные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Расчетные тепловые нагрузки определяются: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   либо по проектам-аналогам.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Размеры земельных участков для отдельно стоящих котельных, размещаемых в районах жилой застройки, следует принимать по </w:t>
      </w:r>
      <w:hyperlink r:id="rId10" w:anchor="Par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таблице 40</w:t>
        </w:r>
      </w:hyperlink>
      <w:r>
        <w:rPr>
          <w:rFonts w:ascii="Tahoma" w:hAnsi="Tahoma" w:cs="Tahoma"/>
          <w:color w:val="000000"/>
          <w:sz w:val="18"/>
          <w:szCs w:val="18"/>
        </w:rPr>
        <w:t>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теплоснабжения не нормируется.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X. Объекты газоснабжения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1"/>
        <w:gridCol w:w="1558"/>
        <w:gridCol w:w="1334"/>
        <w:gridCol w:w="2217"/>
      </w:tblGrid>
      <w:tr w:rsidR="001352B0" w:rsidTr="001352B0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норматива,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(потребители ресурса)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124.13330.2012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42-101-2003</w:t>
            </w:r>
          </w:p>
        </w:tc>
      </w:tr>
      <w:tr w:rsidR="001352B0" w:rsidTr="001352B0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всяких видов горячего водоснабжения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(в сельской местности).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газоснабжения не нормируется.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XI. Объекты водоснабжения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01"/>
        <w:gridCol w:w="9599"/>
      </w:tblGrid>
      <w:tr w:rsidR="001352B0" w:rsidTr="001352B0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благоустройства районов жилой застройки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1352B0" w:rsidTr="001352B0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Застройка зданиями, оборудованными внутренним водопроводом и канализацией: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ванн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125–160</w:t>
            </w:r>
          </w:p>
        </w:tc>
      </w:tr>
      <w:tr w:rsidR="001352B0" w:rsidTr="001352B0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ванными и местными водонагревателями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160–230</w:t>
            </w:r>
          </w:p>
        </w:tc>
      </w:tr>
      <w:tr w:rsidR="001352B0" w:rsidTr="001352B0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централизованным горячим водоснабжением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230–350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водоснабжения не нормируется.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XII. Объекты водоотведения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Вышнедеревенского сельсовета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 30.13330.2010* "СНиП 2.04.01-85* Внутренний водопровод и канализация зданий"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32.13330.2012 Канализация. Наружные сети и сооружения.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42.13330.2011 Градостроительство. Планировка и застройка городских и сельских поселений.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СанПиН 2.1.5.980-00 Гигиенические требования к охране поверхностных вод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наличии канализационных стоков должны быть предусмотрены очистные сооружения.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водоотведения не нормируется.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XIII. Объекты, предназначенные для утилизации и переработки бытовых и промышленных отходов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22"/>
        <w:gridCol w:w="3086"/>
        <w:gridCol w:w="3746"/>
        <w:gridCol w:w="3746"/>
      </w:tblGrid>
      <w:tr w:rsidR="001352B0" w:rsidTr="001352B0">
        <w:trPr>
          <w:tblCellSpacing w:w="0" w:type="dxa"/>
        </w:trPr>
        <w:tc>
          <w:tcPr>
            <w:tcW w:w="2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Бытовые отходы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бытовых отходов, чел./год*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Твердые: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1352B0" w:rsidTr="001352B0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190-225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прочих жилых зданий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300-450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по городу с учетом общественных зданий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280-300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Жидкие из выгребов (при отсутствии канализации)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 с 1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твердых покрытий улиц, площадей и парков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176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58"/>
        <w:gridCol w:w="7483"/>
      </w:tblGrid>
      <w:tr w:rsidR="001352B0" w:rsidTr="001352B0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и сооружения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Площади земельных участков на 1000 т бытовых отходов, га</w:t>
            </w:r>
          </w:p>
        </w:tc>
      </w:tr>
      <w:tr w:rsidR="001352B0" w:rsidTr="001352B0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352B0" w:rsidTr="001352B0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1352B0" w:rsidTr="001352B0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100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1352B0" w:rsidTr="001352B0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 компоста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1352B0" w:rsidTr="001352B0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Полигоны*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0,02-0,05</w:t>
            </w:r>
          </w:p>
        </w:tc>
      </w:tr>
      <w:tr w:rsidR="001352B0" w:rsidTr="001352B0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 компостирования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0,5-1</w:t>
            </w:r>
          </w:p>
        </w:tc>
      </w:tr>
      <w:tr w:rsidR="001352B0" w:rsidTr="001352B0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Мусороперегрузочные станции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1352B0" w:rsidTr="001352B0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Сливные станции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1352B0" w:rsidTr="001352B0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 - наименьшие размеры площадей полигонов относятся к сооружениям, размещаемым на песчаных грунтах.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по вывозу твердых и жидких бытовых отходов должны оказываться в следующие сроки: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реже одного раза в три дня - при температуре воздуха до 14 °С;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ежедневно - при температуре воздуха выше 14 °С;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18. Расчетные показатели минимально допустимого уровня обеспеченности 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5"/>
        <w:gridCol w:w="1560"/>
        <w:gridCol w:w="1410"/>
        <w:gridCol w:w="3615"/>
      </w:tblGrid>
      <w:tr w:rsidR="001352B0" w:rsidTr="001352B0">
        <w:trPr>
          <w:tblCellSpacing w:w="0" w:type="dxa"/>
        </w:trPr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  <w:tc>
          <w:tcPr>
            <w:tcW w:w="3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Кладбища традиционного захоронения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 на 1 тыс. чел.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0,24*</w:t>
            </w:r>
          </w:p>
        </w:tc>
        <w:tc>
          <w:tcPr>
            <w:tcW w:w="3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Ж)</w:t>
            </w:r>
          </w:p>
        </w:tc>
      </w:tr>
      <w:tr w:rsidR="001352B0" w:rsidTr="001352B0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Кладбища урновых захоронений после кремации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 на 1 тыс. чел.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  <w:tr w:rsidR="001352B0" w:rsidTr="001352B0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Бюро похоронного обслуживания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поселение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XV. Зоны рекреационного назначения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зон рекреационного назначения могут включаться зоны в границах территорий,  занятых городскими лесами, скверами, парками, садами, прудами, озерами, водохранилищами, пляжами, 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2794"/>
        <w:gridCol w:w="1593"/>
        <w:gridCol w:w="1292"/>
        <w:gridCol w:w="1758"/>
        <w:gridCol w:w="1217"/>
      </w:tblGrid>
      <w:tr w:rsidR="001352B0" w:rsidTr="001352B0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8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допустимый уровень территориальной доступности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1352B0" w:rsidTr="001352B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массового кратковременного отдыха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500 - 1000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352B0" w:rsidTr="001352B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Речные и озерные пляжи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(в зонах отдыха)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благоустройства, озеленения, обеспечения чистоты и порядка на территории Вышнедеревенского сельсовета,, утвержденными решением  Собрания депутатов Вышнедеревенского муниципального образования от 30.05.2012 г. №42.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640"/>
        <w:gridCol w:w="1200"/>
        <w:gridCol w:w="1905"/>
        <w:gridCol w:w="1215"/>
        <w:gridCol w:w="1695"/>
      </w:tblGrid>
      <w:tr w:rsidR="001352B0" w:rsidTr="001352B0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3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допустимый уровень территориальной доступности</w:t>
            </w:r>
          </w:p>
        </w:tc>
      </w:tr>
      <w:tr w:rsidR="001352B0" w:rsidTr="001352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52B0" w:rsidRDefault="001352B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1352B0" w:rsidTr="001352B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Озелененные территории </w:t>
            </w:r>
            <w:r>
              <w:rPr>
                <w:sz w:val="18"/>
                <w:szCs w:val="18"/>
              </w:rPr>
              <w:lastRenderedPageBreak/>
              <w:t>общего пользования (парки, скверы, бульвары)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/чел.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8-10 (для малых </w:t>
            </w:r>
            <w:r>
              <w:rPr>
                <w:sz w:val="18"/>
                <w:szCs w:val="18"/>
              </w:rPr>
              <w:lastRenderedPageBreak/>
              <w:t>городов), 12 (для сельских поселений)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мин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2B0" w:rsidRDefault="001352B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(для парков </w:t>
            </w:r>
            <w:r>
              <w:rPr>
                <w:sz w:val="18"/>
                <w:szCs w:val="18"/>
              </w:rPr>
              <w:lastRenderedPageBreak/>
              <w:t>районного значения)</w:t>
            </w:r>
          </w:p>
        </w:tc>
      </w:tr>
    </w:tbl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Глава 21. Расчетные показатели минимально допустимого уровня обеспеченности  и максимально допустимого уровня территориальной доступности городских лесов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1352B0" w:rsidRDefault="001352B0" w:rsidP="001352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0A58" w:rsidRPr="001352B0" w:rsidRDefault="006A0A58" w:rsidP="001352B0"/>
    <w:sectPr w:rsidR="006A0A58" w:rsidRPr="001352B0" w:rsidSect="006A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C1C"/>
    <w:multiLevelType w:val="multilevel"/>
    <w:tmpl w:val="0A28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371C3"/>
    <w:multiLevelType w:val="multilevel"/>
    <w:tmpl w:val="468A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B0B5D"/>
    <w:multiLevelType w:val="multilevel"/>
    <w:tmpl w:val="414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94179"/>
    <w:multiLevelType w:val="multilevel"/>
    <w:tmpl w:val="13E6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D7815"/>
    <w:multiLevelType w:val="multilevel"/>
    <w:tmpl w:val="2CA8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75C01"/>
    <w:multiLevelType w:val="multilevel"/>
    <w:tmpl w:val="C802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4585B"/>
    <w:multiLevelType w:val="multilevel"/>
    <w:tmpl w:val="8996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021F3"/>
    <w:multiLevelType w:val="multilevel"/>
    <w:tmpl w:val="3106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84A38"/>
    <w:multiLevelType w:val="multilevel"/>
    <w:tmpl w:val="371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7190A"/>
    <w:multiLevelType w:val="multilevel"/>
    <w:tmpl w:val="BAA0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30483"/>
    <w:multiLevelType w:val="multilevel"/>
    <w:tmpl w:val="AC2E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6FB8"/>
    <w:rsid w:val="001352B0"/>
    <w:rsid w:val="001922B3"/>
    <w:rsid w:val="005E6CEC"/>
    <w:rsid w:val="006A0A58"/>
    <w:rsid w:val="00BF131F"/>
    <w:rsid w:val="00C56D8B"/>
    <w:rsid w:val="00D66FB8"/>
    <w:rsid w:val="00E543E2"/>
    <w:rsid w:val="00E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58"/>
  </w:style>
  <w:style w:type="paragraph" w:styleId="2">
    <w:name w:val="heading 2"/>
    <w:basedOn w:val="a"/>
    <w:next w:val="a"/>
    <w:link w:val="20"/>
    <w:uiPriority w:val="9"/>
    <w:unhideWhenUsed/>
    <w:qFormat/>
    <w:rsid w:val="00BF1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2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FB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66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6F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BF131F"/>
    <w:rPr>
      <w:i/>
      <w:iCs/>
    </w:rPr>
  </w:style>
  <w:style w:type="character" w:styleId="a6">
    <w:name w:val="Hyperlink"/>
    <w:basedOn w:val="a0"/>
    <w:uiPriority w:val="99"/>
    <w:semiHidden/>
    <w:unhideWhenUsed/>
    <w:rsid w:val="00BF13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F13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655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25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8DAAE4ED4B68B315CD3E9E93D61B2B17C27B3CCCF0E09t9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B865D9525C42E1396C5D7919EB9E080AD9A148D7BBD63B548AE5EB3A6EEDA67B6EBFCDCF0E089At3e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865D9525C42E1396C5D7919EB9E080AD8A940DFBDD63B548AE5EB3At6e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B865D9525C42E1396C5D7919EB9E0802D0AF4ED4B68B315CD3E9E93D61B2B17C27B3CCCF0E09t9e9H" TargetMode="External"/><Relationship Id="rId10" Type="http://schemas.openxmlformats.org/officeDocument/2006/relationships/hyperlink" Target="file:///C:\Users\Eduard\Downloads\(%D0%9C%D0%B0%D1%82%D0%B5%D1%80%D0%B8%D0%B0%D0%BB%D1%8B%20%D0%BF%D0%BE%20%D0%BE%D0%B1%D0%BE%D1%81%D0%BD%D0%BE%D0%B2%D0%B0%D0%BD%D0%B8%D1%8E%20%D0%B3%D1%80%D0%B0%D0%B4%D0%BE%D1%81%D1%82%D1%80%D0%BE%D0%B8%D1%82%D0%B5%D0%BB%D1%8C%D0%BD%D0%BE%D0%B3%D0%BE%20%D0%BF%D1%80%D0%BE%D0%B5%D0%BA%D1%82%D0%B8%D1%80%D0%BE%D0%B2%D0%B0%D0%BD%D0%B8%D1%8F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38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10300</Words>
  <Characters>58710</Characters>
  <Application>Microsoft Office Word</Application>
  <DocSecurity>0</DocSecurity>
  <Lines>489</Lines>
  <Paragraphs>137</Paragraphs>
  <ScaleCrop>false</ScaleCrop>
  <Company>SPecialiST RePack</Company>
  <LinksUpToDate>false</LinksUpToDate>
  <CharactersWithSpaces>68873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2023-08-21T07:00:00Z</dcterms:created>
  <dcterms:modified xsi:type="dcterms:W3CDTF">2023-08-21T07:05:00Z</dcterms:modified>
</cp:coreProperties>
</file>