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CF" w:rsidRDefault="00D17CCF" w:rsidP="00D17CCF">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 21» сентября 2022 г. № 77 Об утверждении Порядка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и Порядка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ПОСТАНОВЛЕНИЕ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 21»  сентября 2022   г. №   77</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 утверждении Порядка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и Порядка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пунктом 19 статьи 14  Федерального закона «Об общих принципах организации местного самоуправления в Российской Федерации» от 06.10.2003 № 131-ФЗ, со статьей 39.36-1 Земельного кодекса Российской Федерации, руководствуясь Уставом муниципального образования Вышнедеревенский сельсовет» Льговского района Курской области, Администрация Вышнедеревенского сельсовета Льговского района   </w:t>
      </w:r>
      <w:r>
        <w:rPr>
          <w:rStyle w:val="a5"/>
          <w:rFonts w:ascii="Tahoma" w:hAnsi="Tahoma" w:cs="Tahoma"/>
          <w:color w:val="000000"/>
          <w:sz w:val="15"/>
          <w:szCs w:val="15"/>
        </w:rPr>
        <w:t>ПОСТАНОВЛЯЕТ:</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Утвердить форму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территории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Контроль за исполнением настоящего постановления оставляю за  собой.</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 Постановление вступает в силу со дня его подписания   и подлежит размещению на официальном сайте муниципального образования «Вышнедеревенский сельсовет» Льговского района Курской области в информационно-коммуникационной  сети Интернет.</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Вышнедеревенского сельсовета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«21» 09.2022 г. № 77</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Порядка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Настоящий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Вышнедеревенского сельсовета  Льговского района (далее – Порядок)  разработан в соответствии со статьей 39.36–1 Земельного кодекса Российской Федерации и устанавливает процедуру разработки и утверждения схемы размещения гаражей, являющихся некапитальными сооружениями (далее по тексту – «некапитальные гаражи») либо для стоянки технических или других средств передвижения инвалидов вблизи их места жительства (далее – «стоянка средства передвижения инвалидов»), на землях или земельных участках, находящихся в государственной или муниципальной собственности (далее – земельные участки) без предоставления земельных участков и установления сервитута, публичного сервитута (далее – «схема размещения»), порядок использования гражданами земельных участков для размещения некапитальных гаражей либо для стоянки средств передвижения инвалидов.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Схема размещения разрабатывается и утверждается муниципальным правовым актом органа местного самоуправления (далее – «уполномоченный орган»):</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муниципального района в отношении земельных участков, расположенных в границах сельского поселения, входящего в состав этого муниципального района, за исключением случая, предусмотренного в подпункте </w:t>
      </w:r>
      <w:hyperlink r:id="rId5" w:anchor="sub_10034" w:history="1">
        <w:r>
          <w:rPr>
            <w:rStyle w:val="a3"/>
            <w:rFonts w:ascii="Tahoma" w:hAnsi="Tahoma" w:cs="Tahoma"/>
            <w:color w:val="33A6E3"/>
            <w:sz w:val="15"/>
            <w:szCs w:val="15"/>
          </w:rPr>
          <w:t>«</w:t>
        </w:r>
      </w:hyperlink>
      <w:r>
        <w:rPr>
          <w:rFonts w:ascii="Tahoma" w:hAnsi="Tahoma" w:cs="Tahoma"/>
          <w:color w:val="000000"/>
          <w:sz w:val="15"/>
          <w:szCs w:val="15"/>
        </w:rPr>
        <w:t>2» настоящего пункта;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сельского поселения в отношении земельных участков, находящихся в собственности сельских поселений.</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Разработка схемы размещения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Разработка схемы размещения осуществляется уполномоченными органами на основании результатов инвентаризации, проводимой в порядке, установленном муниципальным правовым актом.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Предложения о включении в схему размещения формируются уполномоченным органом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Включение в схему размещения осуществляется уполномоченным органом по согласованию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земельных участков, в том числе полномочия по предоставлению земельных участков, находящихся в границах муниципального образования, государственная собственность на которые не разграничена,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9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Земельные участки не подлежат включению в схему размещения в случаях, если: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отсутствие доступа (прохода, проезда от земельных участков общего пользования) к земельному участку;</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несоблюдение требований пунктов 3 – 4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9.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В схему размещения могут быть внесены изменения в порядке, установленном для ее разработки и утверждения.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Утвержденная уполномоченным органом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уполномоченного органа в информационно-телекоммуникационной сети «Интернет».</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Схема размещения может предусматривать размещение некапитальных гаражей, возведенных до дня вступления в силу Федерального закона от 05.04.2021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Федерального закона от 05.04.2021 № 79-ФЗ «О внесении изменений в отдельные законодательные акты Российской Федерации».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Исключение из схемы размещения некапитальных гаражей либо стоянок средств передвижения инвалидов осуществляется по основаниям, указанным в пункте 8 Порядка, в том числе в следующих случаях:</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предоставление  земельного участка гражданину или юридическому лицу в соответствии с земельным законодательством;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фактическое размещение некапитального гаража либо стоянки средства передвижения инвалидов не соответствует схеме размещения;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размещение объекта, не соответствующего характеристикам некапитального гаража либо стоянки средства передвижения инвалидов;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демонтаж некапитального гаража либо стоянки средств передвижения инвалидов.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решения уполномоченного органа о согласовании места размещения некапитального гаража либо для стоянки средств передвижения инвалидов (далее – решение).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Решение выдается на основании заявления заинтересованного лица (далее – «заявитель»), поданного в уполномоченный орган, сроком до 5 лет. Оформление решения осуществляется без взимания платы.</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В заявлении должны быть указаны:</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фамилия, имя, отчество (при наличии), место жительства заявителя, реквизиты документа, удостоверяющего личность заявителя;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почтовый адрес, адрес электронной почты, номер телефона для связи с заявителем или представителем заявителя;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цель использования;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описание места размещения некапитального гаража либо стоянки средств передвижения инвалидов согласно схеме размещения;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способ получения решения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срок действия решения.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К заявлению прилагаются: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копии документов, удостоверяющих личность заявителя и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05.04.2021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11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Заявления  рассматриваются уполномоченным органом  в порядке их поступления в течение 30 дней со дня регистрации.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на дату поступления в уполномоченный орган заявления на рассмотрении такого органа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уполномоченный орган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рассмотрения поданного позднее заявления приостанавливается до принятия решения, по ранее поступившему заявлению.</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 Решение должно содержать:</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указание на лицо, в отношении которого принято такое решение;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вид объекта, который планируется разместить;</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описание места размещения некапитального гаража либо стоянки средств передвижения инвалидов;</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срок действия решения в соответствии со сроком, установленным  пунктом 15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условия использования земельного участка, предусмотренные нормативными правовыми актами муниципального образования, в том числе в сфере благоустройства;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указание на возможность досрочного прекращения действия решения по основаниям, предусмотренным пунктом 23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плату за использование;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указание на демонтаж некапитального гаража либо стоянки средства передвижения инвалидов при окончании срока действия решения.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В течение 10 рабочих дней со дня принятия решения уполномоченный орган направляет копию этого решения в уполномоченный орган на осуществление государственного земельного надзора.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По истечении срока действия решения гражданин, надлежащим образом исполнявших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уполномоченный орган о желании продлить решение до окончания действия решения.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В выдаче решения отказывается по основаниям, указанным в пункте 8 настоящего Порядка, в том числе в следующих случаях:</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заявление и документы к нему не соответствуют требованиям, установленным в пунктах 16 – 17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заявлении указан вид объекта, не предусмотренный статьей 39.36–1 Земельного кодекса Российской Федерации;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некапитальный гараж либо стоянка средств передвижения инвалидов не предусмотрены схемой размещения;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случаях, предусмотренных пунктами 22, 27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Действие решения прекращается по основаниям, указанным в пунктах 8, 12 Порядка, в том числе в следующих случаях:</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истечение срока действия решения, за исключением случая, указанного в пункте 22 Порядка;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поступление в уполномоченный орган от лица, которому выдано решение, заявления о досрочном прекращении действия такого решения;</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невнесение платы за использование земельного участка, на котором размещен некапитальный гараж, в порядке, определенном решением;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размещение на земельном участке объекта, не предусмотренного решением;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В случае демонтажа некапитального гаража либо стоянки средства передвижения инвалидов гражданин, получивший решение, обязан сообщить об этом в уполномоченный орган в течение 10 дней с момента его демонтажа.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В случае,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муниципальным правовым актом по вопросам благоустройства территории.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 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Федерального закона от 05.04.2021 № 79-ФЗ «О внесении изменений в отдельные законодательные акты Российской Федерации».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21.09.2022г г. №77</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  (далее - Порядок), разработан в соответствии с </w:t>
      </w:r>
      <w:hyperlink r:id="rId6" w:history="1">
        <w:r>
          <w:rPr>
            <w:rStyle w:val="a3"/>
            <w:rFonts w:ascii="Tahoma" w:hAnsi="Tahoma" w:cs="Tahoma"/>
            <w:color w:val="33A6E3"/>
            <w:sz w:val="15"/>
            <w:szCs w:val="15"/>
          </w:rPr>
          <w:t>частью 1 статьи 39.36-1</w:t>
        </w:r>
      </w:hyperlink>
      <w:r>
        <w:rPr>
          <w:rFonts w:ascii="Tahoma" w:hAnsi="Tahoma" w:cs="Tahoma"/>
          <w:color w:val="000000"/>
          <w:sz w:val="15"/>
          <w:szCs w:val="15"/>
        </w:rPr>
        <w:t> Земельного кодекса Российской Федерации, </w:t>
      </w:r>
      <w:hyperlink r:id="rId7" w:history="1">
        <w:r>
          <w:rPr>
            <w:rStyle w:val="a3"/>
            <w:rFonts w:ascii="Tahoma" w:hAnsi="Tahoma" w:cs="Tahoma"/>
            <w:color w:val="33A6E3"/>
            <w:sz w:val="15"/>
            <w:szCs w:val="15"/>
          </w:rPr>
          <w:t>статьей 5</w:t>
        </w:r>
      </w:hyperlink>
      <w:r>
        <w:rPr>
          <w:rFonts w:ascii="Tahoma" w:hAnsi="Tahoma" w:cs="Tahoma"/>
          <w:color w:val="000000"/>
          <w:sz w:val="15"/>
          <w:szCs w:val="15"/>
        </w:rPr>
        <w:t> Федерального закона от 5 апреля 2021 года N 79-ФЗ "О внесении изменений в отдельные законодательные акты Российской Федерации", Федеральным </w:t>
      </w:r>
      <w:hyperlink r:id="rId8" w:history="1">
        <w:r>
          <w:rPr>
            <w:rStyle w:val="a3"/>
            <w:rFonts w:ascii="Tahoma" w:hAnsi="Tahoma" w:cs="Tahoma"/>
            <w:color w:val="33A6E3"/>
            <w:sz w:val="15"/>
            <w:szCs w:val="15"/>
          </w:rPr>
          <w:t>законом</w:t>
        </w:r>
      </w:hyperlink>
      <w:r>
        <w:rPr>
          <w:rFonts w:ascii="Tahoma" w:hAnsi="Tahoma" w:cs="Tahoma"/>
          <w:color w:val="000000"/>
          <w:sz w:val="15"/>
          <w:szCs w:val="15"/>
        </w:rPr>
        <w:t> от 25 октября 2001 года N 137-ФЗ "О введении в действие Земельного кодекса Российской Федерации" и устанавливает способы расчета размера платы, а также условия и сроки внесения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Размер платы за использование земельных участков, находящихся в муниципальной собственности,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определяется администрацией Вышнедеревенского сельсовета  Льговского района  (далее - уполномоченный орган).</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Размер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 определяется уполномоченным органом в расчете на год по следующей формуле: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 (КС x Ст) x К</w:t>
      </w:r>
      <w:r>
        <w:rPr>
          <w:rFonts w:ascii="Tahoma" w:hAnsi="Tahoma" w:cs="Tahoma"/>
          <w:color w:val="000000"/>
          <w:sz w:val="15"/>
          <w:szCs w:val="15"/>
          <w:vertAlign w:val="subscript"/>
        </w:rPr>
        <w:t>д</w:t>
      </w:r>
      <w:r>
        <w:rPr>
          <w:rFonts w:ascii="Tahoma" w:hAnsi="Tahoma" w:cs="Tahoma"/>
          <w:color w:val="000000"/>
          <w:sz w:val="15"/>
          <w:szCs w:val="15"/>
        </w:rPr>
        <w:t> / К</w:t>
      </w:r>
      <w:r>
        <w:rPr>
          <w:rFonts w:ascii="Tahoma" w:hAnsi="Tahoma" w:cs="Tahoma"/>
          <w:color w:val="000000"/>
          <w:sz w:val="15"/>
          <w:szCs w:val="15"/>
          <w:vertAlign w:val="subscript"/>
        </w:rPr>
        <w:t>г</w:t>
      </w:r>
      <w:r>
        <w:rPr>
          <w:rFonts w:ascii="Tahoma" w:hAnsi="Tahoma" w:cs="Tahoma"/>
          <w:color w:val="000000"/>
          <w:sz w:val="15"/>
          <w:szCs w:val="15"/>
        </w:rPr>
        <w:t>,</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 размер платы (руб.);</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КС - кадастровая стоимость земельного участка (руб.);</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собрания депутатов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w:t>
      </w:r>
      <w:r>
        <w:rPr>
          <w:rFonts w:ascii="Tahoma" w:hAnsi="Tahoma" w:cs="Tahoma"/>
          <w:color w:val="000000"/>
          <w:sz w:val="15"/>
          <w:szCs w:val="15"/>
          <w:vertAlign w:val="subscript"/>
        </w:rPr>
        <w:t>д</w:t>
      </w:r>
      <w:r>
        <w:rPr>
          <w:rFonts w:ascii="Tahoma" w:hAnsi="Tahoma" w:cs="Tahoma"/>
          <w:color w:val="000000"/>
          <w:sz w:val="15"/>
          <w:szCs w:val="15"/>
        </w:rPr>
        <w:t>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w:t>
      </w:r>
      <w:r>
        <w:rPr>
          <w:rFonts w:ascii="Tahoma" w:hAnsi="Tahoma" w:cs="Tahoma"/>
          <w:color w:val="000000"/>
          <w:sz w:val="15"/>
          <w:szCs w:val="15"/>
          <w:vertAlign w:val="subscript"/>
        </w:rPr>
        <w:t>г</w:t>
      </w:r>
      <w:r>
        <w:rPr>
          <w:rFonts w:ascii="Tahoma" w:hAnsi="Tahoma" w:cs="Tahoma"/>
          <w:color w:val="000000"/>
          <w:sz w:val="15"/>
          <w:szCs w:val="15"/>
        </w:rPr>
        <w:t> - количество дней в году (365 или 366 дней).</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для возведения гаража, являющегося некапитальным сооружением, используется часть земельного участка, расчет производится по следующей формуле: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 (КС x Ст) x Кд / К</w:t>
      </w:r>
      <w:r>
        <w:rPr>
          <w:rFonts w:ascii="Tahoma" w:hAnsi="Tahoma" w:cs="Tahoma"/>
          <w:color w:val="000000"/>
          <w:sz w:val="15"/>
          <w:szCs w:val="15"/>
          <w:vertAlign w:val="subscript"/>
        </w:rPr>
        <w:t>г</w:t>
      </w:r>
      <w:r>
        <w:rPr>
          <w:rFonts w:ascii="Tahoma" w:hAnsi="Tahoma" w:cs="Tahoma"/>
          <w:color w:val="000000"/>
          <w:sz w:val="15"/>
          <w:szCs w:val="15"/>
        </w:rPr>
        <w:t> x S</w:t>
      </w:r>
      <w:r>
        <w:rPr>
          <w:rFonts w:ascii="Tahoma" w:hAnsi="Tahoma" w:cs="Tahoma"/>
          <w:color w:val="000000"/>
          <w:sz w:val="15"/>
          <w:szCs w:val="15"/>
          <w:vertAlign w:val="subscript"/>
        </w:rPr>
        <w:t>4</w:t>
      </w:r>
      <w:r>
        <w:rPr>
          <w:rFonts w:ascii="Tahoma" w:hAnsi="Tahoma" w:cs="Tahoma"/>
          <w:color w:val="000000"/>
          <w:sz w:val="15"/>
          <w:szCs w:val="15"/>
        </w:rPr>
        <w:t> / Sучастка,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S</w:t>
      </w:r>
      <w:r>
        <w:rPr>
          <w:rFonts w:ascii="Tahoma" w:hAnsi="Tahoma" w:cs="Tahoma"/>
          <w:color w:val="000000"/>
          <w:sz w:val="15"/>
          <w:szCs w:val="15"/>
          <w:vertAlign w:val="subscript"/>
        </w:rPr>
        <w:t>4</w:t>
      </w:r>
      <w:r>
        <w:rPr>
          <w:rFonts w:ascii="Tahoma" w:hAnsi="Tahoma" w:cs="Tahoma"/>
          <w:color w:val="000000"/>
          <w:sz w:val="15"/>
          <w:szCs w:val="15"/>
        </w:rPr>
        <w:t> - площадь части земельного участка, используемого для возведения гаража, являющегося некапитальным сооружением (кв. 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Sучастка - общая площадь земельного участка (кв. 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Размер платы за использование земель и земельных участков (в случае, если не определена кадастровая стоимость), находящихся в муниципальной собственности, для возведения гражданами гаражей, являющихся некапитальными сооружениями, определяется уполномоченным органом в расчете на год по следующей формуле: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 Су x S x Ст x К</w:t>
      </w:r>
      <w:r>
        <w:rPr>
          <w:rFonts w:ascii="Tahoma" w:hAnsi="Tahoma" w:cs="Tahoma"/>
          <w:color w:val="000000"/>
          <w:sz w:val="15"/>
          <w:szCs w:val="15"/>
          <w:vertAlign w:val="subscript"/>
        </w:rPr>
        <w:t>д</w:t>
      </w:r>
      <w:r>
        <w:rPr>
          <w:rFonts w:ascii="Tahoma" w:hAnsi="Tahoma" w:cs="Tahoma"/>
          <w:color w:val="000000"/>
          <w:sz w:val="15"/>
          <w:szCs w:val="15"/>
        </w:rPr>
        <w:t> / К</w:t>
      </w:r>
      <w:r>
        <w:rPr>
          <w:rFonts w:ascii="Tahoma" w:hAnsi="Tahoma" w:cs="Tahoma"/>
          <w:color w:val="000000"/>
          <w:sz w:val="15"/>
          <w:szCs w:val="15"/>
          <w:vertAlign w:val="subscript"/>
        </w:rPr>
        <w:t>г</w:t>
      </w:r>
      <w:r>
        <w:rPr>
          <w:rFonts w:ascii="Tahoma" w:hAnsi="Tahoma" w:cs="Tahoma"/>
          <w:color w:val="000000"/>
          <w:sz w:val="15"/>
          <w:szCs w:val="15"/>
        </w:rPr>
        <w:t>,</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 размер платы (руб.);</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 - средний уровень кадастровой стоимости земель и земельных участков по Вышнедеревенского сельсовета Льговского района, утвержденный нормативным правовым актом Курской   области (руб. на 1 кв. 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S - площадь земель или земельного участка (части земельного участка), используемых для возведения гражданами гаражей, являющихся некапитальными сооружениями (кв. 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Собрания депутатов Вышнедеревенского  сельсовета 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w:t>
      </w:r>
      <w:r>
        <w:rPr>
          <w:rFonts w:ascii="Tahoma" w:hAnsi="Tahoma" w:cs="Tahoma"/>
          <w:color w:val="000000"/>
          <w:sz w:val="15"/>
          <w:szCs w:val="15"/>
          <w:vertAlign w:val="subscript"/>
        </w:rPr>
        <w:t>д</w:t>
      </w:r>
      <w:r>
        <w:rPr>
          <w:rFonts w:ascii="Tahoma" w:hAnsi="Tahoma" w:cs="Tahoma"/>
          <w:color w:val="000000"/>
          <w:sz w:val="15"/>
          <w:szCs w:val="15"/>
        </w:rPr>
        <w:t> - количество дней использования земель или земельного участка для возведения гаража, являющегося некапитальным сооружением, в течение календарного года (дни);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w:t>
      </w:r>
      <w:r>
        <w:rPr>
          <w:rFonts w:ascii="Tahoma" w:hAnsi="Tahoma" w:cs="Tahoma"/>
          <w:color w:val="000000"/>
          <w:sz w:val="15"/>
          <w:szCs w:val="15"/>
          <w:vertAlign w:val="subscript"/>
        </w:rPr>
        <w:t>г</w:t>
      </w:r>
      <w:r>
        <w:rPr>
          <w:rFonts w:ascii="Tahoma" w:hAnsi="Tahoma" w:cs="Tahoma"/>
          <w:color w:val="000000"/>
          <w:sz w:val="15"/>
          <w:szCs w:val="15"/>
        </w:rPr>
        <w:t> - количество дней в году (365 или 366 дней).</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Перерасчет размера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производится уполномоченным органом: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В отношении земельных участков, указанных в </w:t>
      </w:r>
      <w:hyperlink r:id="rId9" w:anchor="P43" w:history="1">
        <w:r>
          <w:rPr>
            <w:rStyle w:val="a3"/>
            <w:rFonts w:ascii="Tahoma" w:hAnsi="Tahoma" w:cs="Tahoma"/>
            <w:color w:val="33A6E3"/>
            <w:sz w:val="15"/>
            <w:szCs w:val="15"/>
          </w:rPr>
          <w:t>пункте 3</w:t>
        </w:r>
      </w:hyperlink>
      <w:r>
        <w:rPr>
          <w:rFonts w:ascii="Tahoma" w:hAnsi="Tahoma" w:cs="Tahoma"/>
          <w:color w:val="000000"/>
          <w:sz w:val="15"/>
          <w:szCs w:val="15"/>
        </w:rPr>
        <w:t> настоящего Порядка, с 1 января календарного года, следующего за годом, в котором утверждены новые результаты определения кадастровой стоимости земельных участков,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В отношении земель и земельных участков, указанных в </w:t>
      </w:r>
      <w:hyperlink r:id="rId10" w:anchor="P60" w:history="1">
        <w:r>
          <w:rPr>
            <w:rStyle w:val="a3"/>
            <w:rFonts w:ascii="Tahoma" w:hAnsi="Tahoma" w:cs="Tahoma"/>
            <w:color w:val="33A6E3"/>
            <w:sz w:val="15"/>
            <w:szCs w:val="15"/>
          </w:rPr>
          <w:t>пункте 4</w:t>
        </w:r>
      </w:hyperlink>
      <w:r>
        <w:rPr>
          <w:rFonts w:ascii="Tahoma" w:hAnsi="Tahoma" w:cs="Tahoma"/>
          <w:color w:val="000000"/>
          <w:sz w:val="15"/>
          <w:szCs w:val="15"/>
        </w:rPr>
        <w:t> настоящего Порядка, с 1 января календарного года, следующего за годом, в котором утвержден средний уровень кадастровой стоимости земель и земельных участков по Новогоряновскому сельскому поселению,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 Порядок применяется также при определении платы за пользование земельными участками после возведения гаражей, являющихся некапитальными сооружениями.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Плата за использование земель или земельных участков вносится лицом, использующим земли или земельные участки, ежеквартально, не позднее 5 числа месяца, следующего за истекшим кварталом.</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В случае не поступления платы за использование земель или земельных участков в установленный срок лицо, использующее земли или земельные участки, уплачивает пеню в размере 0,1 процента от неоплаченной суммы за каждый день просрочки.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Использование земельных участков для стоянки средств передвижения инвалидов вблизи их мест жительства осуществляется бесплатно.</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3</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  «   г.№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СХЕМА</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размещения гаражей, являющихся некапитальными сооружениями, а также мест стоянки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w:t>
      </w:r>
    </w:p>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24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2008"/>
        <w:gridCol w:w="1505"/>
        <w:gridCol w:w="1392"/>
        <w:gridCol w:w="1643"/>
        <w:gridCol w:w="1617"/>
        <w:gridCol w:w="1183"/>
        <w:gridCol w:w="1164"/>
        <w:gridCol w:w="1419"/>
      </w:tblGrid>
      <w:tr w:rsidR="00D17CCF" w:rsidTr="00D17CCF">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w:t>
            </w:r>
          </w:p>
          <w:p w:rsidR="00D17CCF" w:rsidRDefault="00D17CCF">
            <w:pPr>
              <w:pStyle w:val="a4"/>
              <w:spacing w:before="0" w:beforeAutospacing="0" w:after="0" w:afterAutospacing="0"/>
              <w:jc w:val="both"/>
              <w:rPr>
                <w:sz w:val="15"/>
                <w:szCs w:val="15"/>
              </w:rPr>
            </w:pPr>
            <w:r>
              <w:rPr>
                <w:sz w:val="15"/>
                <w:szCs w:val="15"/>
              </w:rPr>
              <w:t>п.п.</w:t>
            </w:r>
          </w:p>
        </w:tc>
        <w:tc>
          <w:tcPr>
            <w:tcW w:w="24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Место размещения (местоположение)</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 кадастрового квартала или номер земельного участка (при наличии)</w:t>
            </w:r>
          </w:p>
        </w:tc>
        <w:tc>
          <w:tcPr>
            <w:tcW w:w="16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Площадь участка/ его части (кв.м)/ количество единиц размещения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Вид собственности</w:t>
            </w:r>
          </w:p>
        </w:tc>
        <w:tc>
          <w:tcPr>
            <w:tcW w:w="1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Вид размещаемого объекта</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Площадь размеща-емого объекта (кв.м)</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Срок размеще-ния объекта (период размеще-ния)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Примечание</w:t>
            </w:r>
          </w:p>
        </w:tc>
      </w:tr>
      <w:tr w:rsidR="00D17CCF" w:rsidTr="00D17CCF">
        <w:trPr>
          <w:tblCellSpacing w:w="0" w:type="dxa"/>
        </w:trPr>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1</w:t>
            </w:r>
          </w:p>
        </w:tc>
        <w:tc>
          <w:tcPr>
            <w:tcW w:w="24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2</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3</w:t>
            </w:r>
          </w:p>
        </w:tc>
        <w:tc>
          <w:tcPr>
            <w:tcW w:w="16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5</w:t>
            </w:r>
          </w:p>
        </w:tc>
        <w:tc>
          <w:tcPr>
            <w:tcW w:w="1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6</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7</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8</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D17CCF" w:rsidRDefault="00D17CCF">
            <w:pPr>
              <w:pStyle w:val="a4"/>
              <w:spacing w:before="0" w:beforeAutospacing="0" w:after="0" w:afterAutospacing="0"/>
              <w:jc w:val="both"/>
              <w:rPr>
                <w:sz w:val="15"/>
                <w:szCs w:val="15"/>
              </w:rPr>
            </w:pPr>
            <w:r>
              <w:rPr>
                <w:sz w:val="15"/>
                <w:szCs w:val="15"/>
              </w:rPr>
              <w:t>9</w:t>
            </w:r>
          </w:p>
        </w:tc>
      </w:tr>
    </w:tbl>
    <w:p w:rsidR="00D17CCF" w:rsidRDefault="00D17CCF" w:rsidP="00D17CC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D17CCF" w:rsidRDefault="00E42760" w:rsidP="00D17CCF">
      <w:pPr>
        <w:rPr>
          <w:szCs w:val="28"/>
        </w:rPr>
      </w:pPr>
    </w:p>
    <w:sectPr w:rsidR="00E42760" w:rsidRPr="00D17CCF"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135DD6"/>
    <w:rsid w:val="00164A99"/>
    <w:rsid w:val="001829AF"/>
    <w:rsid w:val="001A7D20"/>
    <w:rsid w:val="001C7EA2"/>
    <w:rsid w:val="001F2387"/>
    <w:rsid w:val="00203741"/>
    <w:rsid w:val="002521C3"/>
    <w:rsid w:val="0025441E"/>
    <w:rsid w:val="0029750E"/>
    <w:rsid w:val="002A75FC"/>
    <w:rsid w:val="002D5181"/>
    <w:rsid w:val="002E37AE"/>
    <w:rsid w:val="002F265C"/>
    <w:rsid w:val="002F7EA5"/>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574A9"/>
    <w:rsid w:val="00562261"/>
    <w:rsid w:val="005C23C2"/>
    <w:rsid w:val="005F46A9"/>
    <w:rsid w:val="00626711"/>
    <w:rsid w:val="00640CE7"/>
    <w:rsid w:val="0065696C"/>
    <w:rsid w:val="00670317"/>
    <w:rsid w:val="006C0149"/>
    <w:rsid w:val="0071464B"/>
    <w:rsid w:val="007B3BA6"/>
    <w:rsid w:val="007C20DC"/>
    <w:rsid w:val="007C5F54"/>
    <w:rsid w:val="007F1964"/>
    <w:rsid w:val="00836983"/>
    <w:rsid w:val="008F3345"/>
    <w:rsid w:val="0095418A"/>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21FA5"/>
    <w:rsid w:val="00CC7F34"/>
    <w:rsid w:val="00CD3242"/>
    <w:rsid w:val="00CE0FAB"/>
    <w:rsid w:val="00CE2655"/>
    <w:rsid w:val="00CF32A2"/>
    <w:rsid w:val="00CF4F4B"/>
    <w:rsid w:val="00D06D90"/>
    <w:rsid w:val="00D074B8"/>
    <w:rsid w:val="00D1299D"/>
    <w:rsid w:val="00D17CCF"/>
    <w:rsid w:val="00D22582"/>
    <w:rsid w:val="00D243A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7BDB"/>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2EE9DE76456DE16A2DFAC22B216573F505C9895BE2F0EA3FE1B0381419D724FBE8FB2FAC676F10997AFC63FQFQAL" TargetMode="External"/><Relationship Id="rId3" Type="http://schemas.openxmlformats.org/officeDocument/2006/relationships/settings" Target="settings.xml"/><Relationship Id="rId7" Type="http://schemas.openxmlformats.org/officeDocument/2006/relationships/hyperlink" Target="consultantplus://offline/ref=DDC2EE9DE76456DE16A2DFAC22B216573F505C9F94B72F0EA3FE1B0381419D725DBED7BEFBC768F00182F99779AD9120137F0F2921AE1442Q1Q4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DC2EE9DE76456DE16A2DFAC22B2165738585F9B9AB22F0EA3FE1B0381419D725DBED7BDF8C76EFA5CD8E99330F99D3F1260112A3FAEQ1Q6L" TargetMode="External"/><Relationship Id="rId11" Type="http://schemas.openxmlformats.org/officeDocument/2006/relationships/fontTable" Target="fontTable.xml"/><Relationship Id="rId5" Type="http://schemas.openxmlformats.org/officeDocument/2006/relationships/hyperlink" Target="file:///C:\Users\Eduard\Downloads\%D0%9F%D0%A0%D0%9E%D0%95%D0%9A%D0%A2%20.doc" TargetMode="External"/><Relationship Id="rId10" Type="http://schemas.openxmlformats.org/officeDocument/2006/relationships/hyperlink" Target="file:///C:\Users\Eduard\Downloads\%D0%9F%D0%A0%D0%9E%D0%95%D0%9A%D0%A2%20.doc" TargetMode="External"/><Relationship Id="rId4" Type="http://schemas.openxmlformats.org/officeDocument/2006/relationships/webSettings" Target="webSettings.xml"/><Relationship Id="rId9" Type="http://schemas.openxmlformats.org/officeDocument/2006/relationships/hyperlink" Target="file:///C:\Users\Eduard\Downloads\%D0%9F%D0%A0%D0%9E%D0%95%D0%9A%D0%A2%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85</cp:revision>
  <dcterms:created xsi:type="dcterms:W3CDTF">2023-08-22T03:59:00Z</dcterms:created>
  <dcterms:modified xsi:type="dcterms:W3CDTF">2023-08-23T14:01:00Z</dcterms:modified>
</cp:coreProperties>
</file>