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A9" w:rsidRDefault="005574A9" w:rsidP="005574A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09 ноября 2022г. № 96 с.Вышние Деревеньки Об утверждении Методики формирования бюджета Вышнедеревенского сельсовета Льговского района Курской области на 2023 год и на плановый период 2024 и 2025 годов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АДМИНИСТРАЦИЯ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 СЕЛЬСОВЕТА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 КУРСКОЙ ОБЛАСТИ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ПОСТАНОВЛЕНИЕ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  <w:u w:val="single"/>
        </w:rPr>
        <w:t>09 ноября 2022г. № 96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с.Вышние Деревеньки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 утверждении Методики формирования бюджета Вышнедеревенского сельсовета Льговского района Курской области на 2023 год и на плановый период 2024 и 2025 годов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 В целях повышения качества бюджетного процесса и обеспечения сбалансированности и устойчивости бюджета Администрация Вышнедеревенского сельсовета постановляет: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Утвердить Методику формирования бюджета Вышнедеревенского сельсовета Льговского района Курской области на 2023 год и на плановый период 2024 и 2025 годов (прилагается)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Администрации Вышнедеревенского сельсовета Льговского района Курской области осуществлять прогнозирование доходов на 2023 год и на плановый период 2024 и 2025 годов в соответствии с Методикой формирования бюджета Вышнедеревенского сельсовета, утвержденной пунктом 1 настоящего постановления.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Начальнику отдела администрации довести настоящее постановление до распорядителей средств бюджета Вышнедеревенского сельсовета Льговского района Курской области.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Контроль за исполнением настоящего постановления оставляю за собой.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 Настоящее постановление вступает в силу со дня его подписания.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    Глава Вышнедеревенского сельсовета                    Н.В.Карамышева      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Утверждено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постановлением Администрации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Вышнедеревенского сельсовета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 Курской области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09  ноября 2022г. № 96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методика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формирования бюджета Вышнедеревенского сельсовета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 Курской области на 2023 год и на плановый период 2024 и 2025 годов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  <w:u w:val="single"/>
        </w:rPr>
        <w:t>I. Прогнозирование налоговых и неналоговых доходов бюджета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  <w:u w:val="single"/>
        </w:rPr>
        <w:t>Вышнедеревенского сельсовета Льговского района Курской области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  <w:u w:val="single"/>
        </w:rPr>
        <w:t>на 2023 год и на плановый период 2024 и 2025 годов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Доходная база бюджета Вышнедеревенского сельсовета Льговского района Курской области на 2023-2025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Прогнозирование осуществляется отдельно по каждому виду налога или сбора в условиях хозяйствования муниципального образования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фонд заработной платы).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Налог на доходы физических лиц (код 1 01 02000 01 0000 110)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статьями 227</w:t>
        </w:r>
      </w:hyperlink>
      <w:r>
        <w:rPr>
          <w:rFonts w:ascii="Tahoma" w:hAnsi="Tahoma" w:cs="Tahoma"/>
          <w:color w:val="000000"/>
          <w:sz w:val="15"/>
          <w:szCs w:val="15"/>
        </w:rPr>
        <w:t>, </w:t>
      </w:r>
      <w:hyperlink r:id="rId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227.1</w:t>
        </w:r>
      </w:hyperlink>
      <w:r>
        <w:rPr>
          <w:rFonts w:ascii="Tahoma" w:hAnsi="Tahoma" w:cs="Tahoma"/>
          <w:color w:val="000000"/>
          <w:sz w:val="15"/>
          <w:szCs w:val="15"/>
        </w:rPr>
        <w:t> и </w:t>
      </w:r>
      <w:hyperlink r:id="rId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228</w:t>
        </w:r>
      </w:hyperlink>
      <w:r>
        <w:rPr>
          <w:rFonts w:ascii="Tahoma" w:hAnsi="Tahoma" w:cs="Tahoma"/>
          <w:color w:val="000000"/>
          <w:sz w:val="15"/>
          <w:szCs w:val="15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Первый вариант – сумма налога определяется исходя из ожидаемого поступления налога в 2022 году, скорректированного на темпы роста (снижения) фонда заработной платы на 2023 год.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налога в 2022 году рассчитывается исходя из фактических поступлений сумм налога за 6 месяцев 2022 года и среднего удельного веса поступлений за соответствующие периоды 2019, 2020 и 2021 годов в фактических годовых поступлениях.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 2023 год, и ставки налога в размере 13%.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Прогнозируемая сумма поступления налога на 2024 – 2025 годы также рассчитывается по двум вариантам и принимается средний из них.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Первый вариант – сумма налога на 2024 – 2025 годы определяется исходя из прогнозируемого поступления налога в 2023 году по первому варианту, скорректированного на ежегодные темпы роста (снижения) фонда заработной платы на 2024 – 2025 годы.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Второй вариант – сумма налога на 2024 – 2025 годы определяется исходя из фонда заработной платы, планируемого комитетом по экономике и развитию Курской области на 2024–2025 годы, и ставки налога в размере 13%.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</w:r>
      <w:hyperlink r:id="rId8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статьей 227</w:t>
        </w:r>
      </w:hyperlink>
      <w:r>
        <w:rPr>
          <w:rFonts w:ascii="Tahoma" w:hAnsi="Tahoma" w:cs="Tahoma"/>
          <w:color w:val="000000"/>
          <w:sz w:val="15"/>
          <w:szCs w:val="15"/>
        </w:rPr>
        <w:t> Налогового кодекса Российской Федерации, (код 1 01 02020 01 0000 110) рассчитывается исходя из ожидаемого поступления налога в 2021 году, скорректированного на ежегодные темпы роста (снижения) фонда заработной платы в 2023 – 2025 годах.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налога в 2022 году рассчитывается исходя из среднего фактического поступления сумм налога в 2020 и 2021 годах.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Прогноз поступлений налога на доходы физических лиц с доходов, полученных физическими лицами в соответствии со </w:t>
      </w:r>
      <w:hyperlink r:id="rId9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статьей 228</w:t>
        </w:r>
      </w:hyperlink>
      <w:r>
        <w:rPr>
          <w:rFonts w:ascii="Tahoma" w:hAnsi="Tahoma" w:cs="Tahoma"/>
          <w:color w:val="000000"/>
          <w:sz w:val="15"/>
          <w:szCs w:val="15"/>
        </w:rPr>
        <w:t> Налогового кодекса Российской Федерации (код 1 01 02030 01 0000 110) в 2023 – 2025 годах определяется на уровне ожидаемого поступления налога в 2022 году.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налога в 2022 году определяется на уровне фактического поступления налога в 2021 году.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(код 1 01 02040 01 0000 110), рассчитывается исходя из ожидаемого поступления налога в 2022 году, скорректированного на сводные индексы потребительских цен (все товары и платные услуги), прогнозируемые в целом по Курской области на 2023 – 2025 годы.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налога в 2022 году рассчитывается исходя из фактических поступлений сумм налога за I полугодие 2022 года, умноженных на 2.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Налог на доходы физических лиц в части суммы налога, превышающей 650 000 рублей, относящейся к части налоговой базы, превышающей 5 000 000 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(код 1 01 02080 01 0000 110), рассчитывается исходя из ожидаемого поступления налога в 2022 году, скорректированного на темпы роста (снижения) фонда заработной платы на 2023– 2025 годы.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налога в 2022 году рассчитывается исходя из суммы фактического поступления налога за I полугодие 2022 года и фактического поступления налога за июнь 2022 года умноженного на количество месяцев II полугодия 2022 года.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получении в расчетах отрицательного значения прогноз поступления налога принимается равным нулю.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Единый сельскохозяйственный налог (код 1 05 03010 01 0000 110)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Прогноз поступлений налога в 2023 – 2025 годах рассчитывается исходя из ожидаемого поступления налога в 2022 году, скорректированного на ежегодные индексы-дефляторы цен сельскохозяйственной продукции, прогнозируемые на 2023 – 2025 годы.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налога в 2022 году рассчитывается исходя из фактических поступлений сумм налога за 6 месяцев 2022 года и удельного веса поступлений за соответствующий период 2021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расчёте на очередной финансовый год и на плановый период прогноза поступления налога учитываются особенности по поселению: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получении в расчётах отрицательного значения прогноз поступления налога принимается равным нулю.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   </w:t>
      </w: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Налог на имущество физических лиц (код 1 06 01000 00 0000 110)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Прогноз поступлений налога на 2023 - 2025 годы рассчитывается исходя из ожидаемого поступления налога в 2022 году.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в 2022 году рассчитывается исходя из фактических поступлений сумм налога за 2021 год, скорректированного на среднеобластной темп роста налога за 3 года - 114,6 процента.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Когда при расчете ожидаемого поступления отмечается отрицательная динамика роста поступлений по налогу, в расчет принимается темп роста, равный 100 процентам. При получении в расчетах отрицательного значения прогноз поступления налога принимается равным нулю.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Земельный налог (код 1 06 06000 00 0000 110)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Прогноз поступлений земельного налога на 2023-2025 годы определяется на уровне ожидаемого поступления налога в 2022 году.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налога в 2022 году рассчитывается исходя из среднего значения фактических поступлений сумм налога в 2020 и 2021 годах.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(коды 1 11 05024 04 0000 120; 1 11 05025 05 0000 120; 1 11 05025 10 0000 120; 1 11 05025 13 0000 120)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Поступление арендной платы за земли на 2023-2025 годы прогно-зируется на уровне ожидаемого поступления доходов в 2022 году.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в 2022 году рассчитывается исходя из фактического поступления доходов во 2 полугодии 2021 года и в 1 полугодии 2022 года.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  <w:u w:val="single"/>
        </w:rPr>
        <w:t>II. Отдельные особенности планирования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  <w:u w:val="single"/>
        </w:rPr>
        <w:t>бюджетных ассигнований бюджета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  <w:u w:val="single"/>
        </w:rPr>
        <w:t>Вышнедеревенского сельсовета Льговского района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  <w:u w:val="single"/>
        </w:rPr>
        <w:t>Курской области на 2023 год и на плановый период 2024 и 2025 годов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В основу прогноза расходов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 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 от 6 октября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приказы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от 17.05.2022 № 75н «Об утверждении кодов (перечней кодов) бюджетной классификации Российской Федерации на 2023 год (на 2023 год и на </w:t>
      </w:r>
      <w:r>
        <w:rPr>
          <w:rFonts w:ascii="Tahoma" w:hAnsi="Tahoma" w:cs="Tahoma"/>
          <w:color w:val="000000"/>
          <w:sz w:val="15"/>
          <w:szCs w:val="15"/>
        </w:rPr>
        <w:lastRenderedPageBreak/>
        <w:t>плановый период 2024 и 2025 годов)», Основные направления бюджетной и налоговой политики Курской области на 2023 год и на плановый период 2024 и 2025 годов, утвержденные распоряжением Администрации Курской области</w:t>
      </w:r>
      <w:r>
        <w:rPr>
          <w:rFonts w:ascii="Tahoma" w:hAnsi="Tahoma" w:cs="Tahoma"/>
          <w:color w:val="000000"/>
          <w:sz w:val="15"/>
          <w:szCs w:val="15"/>
        </w:rPr>
        <w:br/>
        <w:t>от 9 сентября 2022 года № 706-ра, а также проект федерального закона «О федеральном бюджете на 2023 год и на плановый период 2024 и 2025 годов».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I. Общие подходы к планированию бюджетных ассигнований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областного бюджета на 2023 год и на плановый период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2024 и 2025 годов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Планирование объемов на 2023 год и на плановый период 2024 и 2025 годов осуществляется в рамках муниципальных программ Вышнедеревенского сельсовета Льговского района Курской области и непрограммных мероприятий.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Формирование объема и структуры расходов  бюджета муниципального образования на 2023 год и на плановый период 2024 и 2025 годов осуществляется исходя из «базовых» объемов бюджетных ассигнований на 2022 и 2024 годы, утвержденных Решением Собрания депутатов Вышнедеревенского сельсовета Льговского района Курской области от 15.12.2021 года № 17.1/3 «О бюджете Вышнедеревенского сельсовета Льговского района Курской области на 2022 год и на плановый период 2023 и 2024 годов» (в редакции Решения Собрания депутатов Вышнедеревенского сельсовета Льговского района Курской области от 11.08.2022 №8.1/3) с учетом их доведения до уровня 2022 года по расходам длительного срока действия. В основу формирования расходов 2025 года положены бюджетные ассигнования 2024 года.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формировании бюджета муниципального образования на 2023 год и на плановый период 2024 и 2025 годов применены общие подходы к расчету бюджетных проектировок: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оплату труда работников органов местного самоуправления, финансируемых за счет средств местного бюджета, осуществляется исходя из утвержденных структур, действующих на 1 августа 2022 года, и нормативных актов Вышнедеревенского сельсовета Льговского района Курской области, регулирующих оплату труда, а также установленных для муниципального образования нормативов формирования расходов на содержание органов местного самоуправления;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муниципального образования согласно статьям 85 и 174.2 БК РФ;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 обеспечение сохранения целевых показателей указов Президента Российской Федерации от 1 июня 2012 года № 761, от 7 мая 2012 года          № 597 и от 28 декабря 2012 года № 1688, а также реализация мероприятий, предусмотренных Указом Президента Российской Федерации от 7 мая 2018 года № 204 и от 21 июля 2020 года №474;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5)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ее изменения, и размеров выплат.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расчете бюджетных ассигнований учтены следующие факторы: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а) ежегодная индексация с 1 февраля 2022 года, учитывая прогнозный уровень инфляции (индекс роста потребительских цен) отдельных публичных нормативных обязательств, на 1,055;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б) индексация с 1 октября в 2022 года оплаты труда на прогнозный уровень инфляции (индекс роста потребительских цен), в том числе на оплату труда отдельных категорий работников бюджетной сферы, на которых не распространяется действие указов Президента Российской Федерации от 7 мая 2012 года  № 597, от 1 июня 2012 года № 761, от 28 декабря 2012 года  №   1688, и сотрудников органов местного самоуправления на 1,055.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Отдельные особенности планирования бюджетных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ассигнований бюджета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 учетом особенностей планировались расходы по следующим подразделам.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Подраздел 0102 «Функционирование высшего должностного лица субъекта Российской Федерации и муниципального образования».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Подраздел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данным подразделам планируются расходы на содержание главы органа местного самоуправления (0102), на содержание местной администрации (0104) в соответствии с нормативом формирования расходов на содержание органов местного самоуправления на 2023 год.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   Подраздел 0113 «Другие общегосударственные вопросы»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подразделу планируются расходы на содержание МКУ «ОДА», публикацию муниципальных правовых актов и иной официальной информации; расходы на уплату членских взносов в Совет муниципальных образований Курской области; уплата налога на имущество и земельного налога, а так же прочие общегосударственные расходы.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</w:t>
      </w: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Подраздел 0203 «Мобилизационная и вневойсковая подготовка»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 за счет средств федерального бюджета, предусмотренных на эти цели в Законе Курской области «Об областном бюджете на 2023 год и плановый период 2024-2025 годов»;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Подраздел 0310 «Обеспечение пожарной безопасности»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разделу планируются расходы, направленные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Подраздел 0501 «Жилищное хозяйство»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 В бюджете на 2023 год и плановый период 2024 и 2025 годов по данному подразделу учитываются расходы бюджета поселения на минимальные взносы в Фонд «Региональный оператор фонда капитального ремонта многоквартирных домов Курской области» на капитальный ремонт жилищного фонда, находящегося в муниципальной собственности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Подраздел 0503 «Благоустройство»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Расходы на благоустройство муниципального образования в границах населенных пунктов, включающие уличное освещение, озеленение, расходы связанные с содержанием и уборкой территорий улиц, площадей, придомовых территорий, а также иные расходы по содержанию объектов благоустройства.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Подраздел 1001 «Пенсионное обеспечение»</w:t>
      </w:r>
    </w:p>
    <w:p w:rsidR="005574A9" w:rsidRDefault="005574A9" w:rsidP="005574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подразделу предусмотрены расходы бюджета Вышнедеревенского  сельсовета на доплаты к государственным пен</w:t>
      </w:r>
      <w:r>
        <w:rPr>
          <w:rFonts w:ascii="Tahoma" w:hAnsi="Tahoma" w:cs="Tahoma"/>
          <w:color w:val="000000"/>
          <w:sz w:val="15"/>
          <w:szCs w:val="15"/>
        </w:rPr>
        <w:softHyphen/>
        <w:t>сиям и пенсиям за выслугу лет лицам, замещавшим муниципальные должности муниципальной службы муниципального образования «Вышнедеревенский сельсовет» Льговского района Курской области, объем которых пла</w:t>
      </w:r>
      <w:r>
        <w:rPr>
          <w:rFonts w:ascii="Tahoma" w:hAnsi="Tahoma" w:cs="Tahoma"/>
          <w:color w:val="000000"/>
          <w:sz w:val="15"/>
          <w:szCs w:val="15"/>
        </w:rPr>
        <w:softHyphen/>
        <w:t>нируется исходя из ожидаемой численности получателей, с учетом ее изменения, а также среднего размера выплат на одного получателя, объем которых на 2023 год предусмотрен на уровне ожидаемых расходов  в 2022 году.</w:t>
      </w:r>
    </w:p>
    <w:p w:rsidR="00E42760" w:rsidRPr="005574A9" w:rsidRDefault="00E42760" w:rsidP="005574A9">
      <w:pPr>
        <w:rPr>
          <w:szCs w:val="28"/>
        </w:rPr>
      </w:pPr>
    </w:p>
    <w:sectPr w:rsidR="00E42760" w:rsidRPr="005574A9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0F8"/>
    <w:multiLevelType w:val="multilevel"/>
    <w:tmpl w:val="F2FE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744EA"/>
    <w:multiLevelType w:val="multilevel"/>
    <w:tmpl w:val="1F042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82145"/>
    <w:multiLevelType w:val="multilevel"/>
    <w:tmpl w:val="0FDC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D6CC7"/>
    <w:multiLevelType w:val="multilevel"/>
    <w:tmpl w:val="C8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863142"/>
    <w:multiLevelType w:val="multilevel"/>
    <w:tmpl w:val="FBAC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05E44"/>
    <w:multiLevelType w:val="multilevel"/>
    <w:tmpl w:val="2B3A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1C2DC3"/>
    <w:multiLevelType w:val="multilevel"/>
    <w:tmpl w:val="862C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55A43"/>
    <w:multiLevelType w:val="multilevel"/>
    <w:tmpl w:val="1494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70D4C"/>
    <w:multiLevelType w:val="multilevel"/>
    <w:tmpl w:val="99A6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95705A"/>
    <w:multiLevelType w:val="multilevel"/>
    <w:tmpl w:val="1754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750C11"/>
    <w:multiLevelType w:val="multilevel"/>
    <w:tmpl w:val="0F40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7C02ED"/>
    <w:multiLevelType w:val="multilevel"/>
    <w:tmpl w:val="D7FA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B4D21"/>
    <w:multiLevelType w:val="multilevel"/>
    <w:tmpl w:val="590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6036FA"/>
    <w:multiLevelType w:val="multilevel"/>
    <w:tmpl w:val="89E0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D736BA"/>
    <w:multiLevelType w:val="multilevel"/>
    <w:tmpl w:val="8E6C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777BF5"/>
    <w:multiLevelType w:val="multilevel"/>
    <w:tmpl w:val="74DA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743C22"/>
    <w:multiLevelType w:val="multilevel"/>
    <w:tmpl w:val="31EA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F536EA"/>
    <w:multiLevelType w:val="multilevel"/>
    <w:tmpl w:val="C55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B04805"/>
    <w:multiLevelType w:val="multilevel"/>
    <w:tmpl w:val="6F8A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06B10"/>
    <w:multiLevelType w:val="multilevel"/>
    <w:tmpl w:val="47C8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5E4C4E"/>
    <w:multiLevelType w:val="multilevel"/>
    <w:tmpl w:val="135A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2C3EFA"/>
    <w:multiLevelType w:val="multilevel"/>
    <w:tmpl w:val="A018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A73EB4"/>
    <w:multiLevelType w:val="multilevel"/>
    <w:tmpl w:val="859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D30F0"/>
    <w:multiLevelType w:val="multilevel"/>
    <w:tmpl w:val="51C2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3B68B1"/>
    <w:multiLevelType w:val="multilevel"/>
    <w:tmpl w:val="3014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615BE"/>
    <w:multiLevelType w:val="multilevel"/>
    <w:tmpl w:val="9434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EC2B2E"/>
    <w:multiLevelType w:val="multilevel"/>
    <w:tmpl w:val="6FD8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5979B4"/>
    <w:multiLevelType w:val="multilevel"/>
    <w:tmpl w:val="8702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700B60"/>
    <w:multiLevelType w:val="multilevel"/>
    <w:tmpl w:val="1758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641C43"/>
    <w:multiLevelType w:val="multilevel"/>
    <w:tmpl w:val="F680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27"/>
  </w:num>
  <w:num w:numId="5">
    <w:abstractNumId w:val="18"/>
  </w:num>
  <w:num w:numId="6">
    <w:abstractNumId w:val="32"/>
  </w:num>
  <w:num w:numId="7">
    <w:abstractNumId w:val="10"/>
  </w:num>
  <w:num w:numId="8">
    <w:abstractNumId w:val="23"/>
  </w:num>
  <w:num w:numId="9">
    <w:abstractNumId w:val="29"/>
  </w:num>
  <w:num w:numId="10">
    <w:abstractNumId w:val="5"/>
  </w:num>
  <w:num w:numId="11">
    <w:abstractNumId w:val="39"/>
  </w:num>
  <w:num w:numId="12">
    <w:abstractNumId w:val="31"/>
  </w:num>
  <w:num w:numId="13">
    <w:abstractNumId w:val="16"/>
  </w:num>
  <w:num w:numId="14">
    <w:abstractNumId w:val="34"/>
  </w:num>
  <w:num w:numId="15">
    <w:abstractNumId w:val="30"/>
  </w:num>
  <w:num w:numId="16">
    <w:abstractNumId w:val="9"/>
  </w:num>
  <w:num w:numId="17">
    <w:abstractNumId w:val="33"/>
  </w:num>
  <w:num w:numId="18">
    <w:abstractNumId w:val="7"/>
  </w:num>
  <w:num w:numId="19">
    <w:abstractNumId w:val="42"/>
  </w:num>
  <w:num w:numId="20">
    <w:abstractNumId w:val="8"/>
  </w:num>
  <w:num w:numId="21">
    <w:abstractNumId w:val="28"/>
  </w:num>
  <w:num w:numId="22">
    <w:abstractNumId w:val="24"/>
  </w:num>
  <w:num w:numId="23">
    <w:abstractNumId w:val="17"/>
  </w:num>
  <w:num w:numId="24">
    <w:abstractNumId w:val="19"/>
  </w:num>
  <w:num w:numId="25">
    <w:abstractNumId w:val="26"/>
  </w:num>
  <w:num w:numId="26">
    <w:abstractNumId w:val="37"/>
  </w:num>
  <w:num w:numId="27">
    <w:abstractNumId w:val="35"/>
  </w:num>
  <w:num w:numId="28">
    <w:abstractNumId w:val="25"/>
  </w:num>
  <w:num w:numId="29">
    <w:abstractNumId w:val="14"/>
  </w:num>
  <w:num w:numId="30">
    <w:abstractNumId w:val="2"/>
  </w:num>
  <w:num w:numId="31">
    <w:abstractNumId w:val="22"/>
  </w:num>
  <w:num w:numId="32">
    <w:abstractNumId w:val="41"/>
  </w:num>
  <w:num w:numId="33">
    <w:abstractNumId w:val="40"/>
  </w:num>
  <w:num w:numId="34">
    <w:abstractNumId w:val="20"/>
  </w:num>
  <w:num w:numId="35">
    <w:abstractNumId w:val="13"/>
  </w:num>
  <w:num w:numId="36">
    <w:abstractNumId w:val="15"/>
  </w:num>
  <w:num w:numId="37">
    <w:abstractNumId w:val="36"/>
  </w:num>
  <w:num w:numId="38">
    <w:abstractNumId w:val="1"/>
  </w:num>
  <w:num w:numId="39">
    <w:abstractNumId w:val="0"/>
  </w:num>
  <w:num w:numId="40">
    <w:abstractNumId w:val="3"/>
  </w:num>
  <w:num w:numId="41">
    <w:abstractNumId w:val="12"/>
  </w:num>
  <w:num w:numId="42">
    <w:abstractNumId w:val="38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135DD6"/>
    <w:rsid w:val="00164A99"/>
    <w:rsid w:val="001A7D20"/>
    <w:rsid w:val="001C7EA2"/>
    <w:rsid w:val="001F2387"/>
    <w:rsid w:val="002521C3"/>
    <w:rsid w:val="0025441E"/>
    <w:rsid w:val="0029750E"/>
    <w:rsid w:val="002A75FC"/>
    <w:rsid w:val="002D5181"/>
    <w:rsid w:val="002E37AE"/>
    <w:rsid w:val="002F265C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724F"/>
    <w:rsid w:val="0042276E"/>
    <w:rsid w:val="004A4515"/>
    <w:rsid w:val="004B5FC5"/>
    <w:rsid w:val="00514F78"/>
    <w:rsid w:val="005574A9"/>
    <w:rsid w:val="00562261"/>
    <w:rsid w:val="005C23C2"/>
    <w:rsid w:val="005F46A9"/>
    <w:rsid w:val="00626711"/>
    <w:rsid w:val="00640CE7"/>
    <w:rsid w:val="0065696C"/>
    <w:rsid w:val="00670317"/>
    <w:rsid w:val="006C0149"/>
    <w:rsid w:val="0071464B"/>
    <w:rsid w:val="007C20DC"/>
    <w:rsid w:val="007C5F54"/>
    <w:rsid w:val="007F1964"/>
    <w:rsid w:val="00836983"/>
    <w:rsid w:val="008F3345"/>
    <w:rsid w:val="0095418A"/>
    <w:rsid w:val="0097141B"/>
    <w:rsid w:val="00994ADC"/>
    <w:rsid w:val="009B2D0C"/>
    <w:rsid w:val="009C7270"/>
    <w:rsid w:val="009E1756"/>
    <w:rsid w:val="009F0866"/>
    <w:rsid w:val="00A10852"/>
    <w:rsid w:val="00A4064F"/>
    <w:rsid w:val="00A86FB2"/>
    <w:rsid w:val="00A929F8"/>
    <w:rsid w:val="00AA7968"/>
    <w:rsid w:val="00B503A6"/>
    <w:rsid w:val="00B94AF7"/>
    <w:rsid w:val="00B97CBD"/>
    <w:rsid w:val="00C05B8B"/>
    <w:rsid w:val="00C10853"/>
    <w:rsid w:val="00CC7F34"/>
    <w:rsid w:val="00CD3242"/>
    <w:rsid w:val="00CE2655"/>
    <w:rsid w:val="00CF4F4B"/>
    <w:rsid w:val="00D06D90"/>
    <w:rsid w:val="00D1299D"/>
    <w:rsid w:val="00D22582"/>
    <w:rsid w:val="00D243AB"/>
    <w:rsid w:val="00D94C25"/>
    <w:rsid w:val="00DC76DC"/>
    <w:rsid w:val="00E007D8"/>
    <w:rsid w:val="00E069C5"/>
    <w:rsid w:val="00E1593B"/>
    <w:rsid w:val="00E24BEB"/>
    <w:rsid w:val="00E42760"/>
    <w:rsid w:val="00E61A1B"/>
    <w:rsid w:val="00E61D4C"/>
    <w:rsid w:val="00E64D28"/>
    <w:rsid w:val="00EC53F8"/>
    <w:rsid w:val="00ED66B4"/>
    <w:rsid w:val="00F13535"/>
    <w:rsid w:val="00F27BDB"/>
    <w:rsid w:val="00F72F8D"/>
    <w:rsid w:val="00F75248"/>
    <w:rsid w:val="00F83AD1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74</cp:revision>
  <dcterms:created xsi:type="dcterms:W3CDTF">2023-08-22T03:59:00Z</dcterms:created>
  <dcterms:modified xsi:type="dcterms:W3CDTF">2023-08-23T12:43:00Z</dcterms:modified>
</cp:coreProperties>
</file>