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23" w:rsidRPr="00052723" w:rsidRDefault="00052723" w:rsidP="000527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№ 115 от 14 ноября 2019 года с. Вышние Деревеньки Об утверждении Методики по формированию бюджета муниципального образования «Вышнедеревенский сельсовет» Льговского района на 2020 год и плановый период 2021 и 2022 годов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АДМИНИСТРАЦИЯ ВЫШНЕДЕРЕВЕНСКОГО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СЕЛЬСОВЕТА ЛЬГОВСКОГО РАЙОНА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ПОСТАНОВЛЕНИЕ № 115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14  ноября 2019 года                                                с. Вышние Деревеньки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 утверждении  Методики  по формированию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бюджета муниципального образования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«Вышнедеревенский сельсовет» Льговского района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2020 год и плановый период 2021 и 2022 годов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со статьями 174.1, 174.2 с Бюджетного кодекса Российской Федерации, решением  Собрания депутатов Вышнедеревенского сельсовета  Льговского района от 01.06.2016 № 11 «Об утверждении положения о бюджетном процессе в Вышнедеревенском сельсовете»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ПОСТАНОВЛЯЮ: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Утвердить прилагаемую Методику  по формированию бюджета муниципального  образования «Вышнедеревенский сельсовет» Льговского района Курской области на 2020 год и плановый период 2021 и 2022 годов, согласно приложению.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Контроль за исполнением настоящего постановления оставляю за собой.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Постановление вступает в силу со дня его подписания.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И.О.главы Вышнедеревенского сельсовета:                                    Л.Н.Алешин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к постановлению администрации Вышнедеревенского сельсовета Льговского района Курской области №  115   от 14.11.2019 г.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МЕТОДИКА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 формированию бюджета муниципального образования «Вышнедеревенский сельсовет» Льговского района Курской области на 2020 год и плановый период  2021 – 2022 годов.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1. Методика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прогнозирования налоговых и неналоговых доходов бюджета муниципального образования «Вышнедеревенский сельсовет» Льговского района Курской области на 2020 год и на плановый период 2021 и 2022 годов.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Доходная база местного бюджета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 и района.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Прогнозирование осуществляется отдельно по каждому виду налога или сбора в условиях хозяйствования поселения (индексы сельскохозяйственного производства, фонд заработной платы) по муниципальному образованию (в отдельных случаях  по району).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Налог на доходы физических лиц (код 1 01 02000 01 0000 110)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 w:rsidRPr="00052723">
          <w:rPr>
            <w:rFonts w:ascii="Tahoma" w:eastAsia="Times New Roman" w:hAnsi="Tahoma" w:cs="Tahoma"/>
            <w:color w:val="33A6E3"/>
            <w:sz w:val="16"/>
            <w:lang w:eastAsia="ru-RU"/>
          </w:rPr>
          <w:t>статьями 227</w:t>
        </w:r>
      </w:hyperlink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 </w:t>
      </w:r>
      <w:hyperlink r:id="rId6" w:history="1">
        <w:r w:rsidRPr="00052723">
          <w:rPr>
            <w:rFonts w:ascii="Tahoma" w:eastAsia="Times New Roman" w:hAnsi="Tahoma" w:cs="Tahoma"/>
            <w:color w:val="33A6E3"/>
            <w:sz w:val="16"/>
            <w:lang w:eastAsia="ru-RU"/>
          </w:rPr>
          <w:t>227.1</w:t>
        </w:r>
      </w:hyperlink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и </w:t>
      </w:r>
      <w:hyperlink r:id="rId7" w:history="1">
        <w:r w:rsidRPr="00052723">
          <w:rPr>
            <w:rFonts w:ascii="Tahoma" w:eastAsia="Times New Roman" w:hAnsi="Tahoma" w:cs="Tahoma"/>
            <w:color w:val="33A6E3"/>
            <w:sz w:val="16"/>
            <w:lang w:eastAsia="ru-RU"/>
          </w:rPr>
          <w:t>228</w:t>
        </w:r>
      </w:hyperlink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Второй вариант – сумма налога определяется исходя из фонда заработной платы, планируемого прогнозом социально – экономического развития муниципального образования на 2020 год, и ставки налога в размере 13 %.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Прогнозируемая сумма поступления налога на 2021 - 2022 годы также рассчитывается по двум вариантам и принимается средний из них.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Первый вариант - сумма налога на 2021 - 2022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2021 - 2022 годы.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Второй вариант - сумма налога на 2021 - 2022 годы определяется исходя из фонда заработной платы, планируемого прогнозом социально – экономического развития муниципального образования на 2020 год, и ставки налога в размере 13 %.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 w:rsidRPr="00052723">
          <w:rPr>
            <w:rFonts w:ascii="Tahoma" w:eastAsia="Times New Roman" w:hAnsi="Tahoma" w:cs="Tahoma"/>
            <w:color w:val="33A6E3"/>
            <w:sz w:val="16"/>
            <w:lang w:eastAsia="ru-RU"/>
          </w:rPr>
          <w:t>статьей 227</w:t>
        </w:r>
      </w:hyperlink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Налогового кодекса Российской Федерации (код 1 01 02020 01 0000 110), рассчитывается исходя из ожидаемого поступления налога в 2018 году, скорректированного на ежегодные темпы роста (снижения) фонда заработной платы в 2020 - 2022 годах.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 w:rsidRPr="00052723">
          <w:rPr>
            <w:rFonts w:ascii="Tahoma" w:eastAsia="Times New Roman" w:hAnsi="Tahoma" w:cs="Tahoma"/>
            <w:color w:val="33A6E3"/>
            <w:sz w:val="16"/>
            <w:lang w:eastAsia="ru-RU"/>
          </w:rPr>
          <w:t>статьей 228</w:t>
        </w:r>
      </w:hyperlink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Налогового кодекса Российской Федерации (код 1 01 02030 01 0000 110) в 2020 – 2022 годах определяется на уровне ожидаемого поступления налога в 2019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налога в 2019 году определяется на уровне фактического поступления налога в 2018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Единый сельскохозяйственный налог (код 1 05 03010 01 0000 110)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 поступлений налога в 2020-2022 годах 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В случае, если при расчёте ожидаемого поступления удельный вес 1 полугодия отчётного года составляет более 100 процентов, в расчёт принимается удельный вес равный 100 процентам.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отсутствии у поселения индексов цен сельскохозяйственной продукции в расчётах применяются сводные индексы по району;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получении в расчётах отрицательного значения прогноз поступления налога принимается равным нулю.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Налог на имущество физических лиц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(код 1 06 01000 00 0000 110)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в 2019 году определяется на уровне фактического поступления налога в 2018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Земельный налог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(код 1 06 06000 00 0000 110)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(коды 1 11 05024 04 0000 120; 1 11 05025 05 0000 120; 1 11 05025 10 0000 120; 1 11 05025 13 0000 120)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Прочие неналоговые доходы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(код 1 17 05000 00 0000 180)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Поступление прочих неналоговых доходов в местные бюджеты на 2020-2022 годы прогнозируется на уровне ожидаемого поступления доходов в 2019 году.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Ожидаемое поступление в 2019 году рассчитывается исходя из среднего значения фактических поступлений прочих неналоговых доходов в 2017 и 2018 годах.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</w:t>
      </w: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Безвозмездные поступления от других бюджетов бюджетной системы Российской Федерации (2 02 00000 000 0000 000)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lastRenderedPageBreak/>
        <w:t>            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Безвозмездные поступления из областного бюджета и бюджета Льговского района Курской области прогнозируется в объемах, отраженных в проекте закона Курской области «Об областном бюджете на 2020 год и на плановый период 2021 и 2022 годов» и проекте решения Представительного Собрания Льговского района Курской области «О бюджете Льговского района Курской области на 2020 год и на плановый период 2021 и 2022 годов» на момент формирования бюджета Вышнедеревенского сельсовета.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2. Методика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планирования бюджетных ассигнований местного бюджета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 2020 год и плановый период 2021 - 2022 годов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основу прогноза расходов местного бюджета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Курской области на 2020 год и на плановый период 2021 и 2022 годов, Основные направления бюджетной и налоговой политики Льговского района Курской области на 2020 год и на плановый период 2021 и 2022 годов, Основные направления бюджетной и налоговой политики МО «Вышнедеревенский сельсовет» Льговского района Курской области на 2020 год и на плановый период 2021 и 2022 годов, а также Проект Закона Курской области "Об областном бюджете на 2020 год и на плановый период 2021 и 2022 годов" (с материалами).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В основу формирования расходов бюджета поселения на 2020 год и плановый период 2021 и 2022 годов приняты уточненные бюджетные ассигнования на 2019 год по состоянию на 01.10.2019 г.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формировании объема бюджета исключены расходы, производимые в 2019 году в соответствии с разовыми решениями о финансировании из  бюджета поселения, и (или) расходы на реализацию решений, срок действия которых завершается.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Планирование расходов  бюджета поселения осуществлялось по: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оплате труда работников органов местного самоуправления исходя из  утвержденных структур, действующих на 1 января 2019 года, нормативных актов муниципального образования «Вышнедеревенский сельсовет», регулирующих оплату труда;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2.1 Общие подходы к планированию бюджетных ассигнований местного бюджета на 2020 год и плановый период 2021-2022 годов.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Планирование объемов на 2020 год и плановый период 2021-2022 годов осуществлялось в рамках муниципальных программ и непрограммных мероприятий.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Формирование объема и структуры расходов местного бюджета осуществлялось исходя из следующих основных подходов: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определение «базовых» объемов бюджетных ассигнований на 2020 год и плановый период 2021-2022 годов на основании бюджетных ассигнований, утвержденных Решением Собрания  депутатов Вышнедеревенского сельсовета Льговского района Курской области от 13.12.2018 года № 28 «О бюджете муниципального образования «Вышнедеревенский сельсовет» Льговского района Курской области на 2019 и плановый период 2020 – 2021 годов год» с учетом всех изменений;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исключение расходов, производимых в 2020 году в соответствии с разовыми решениями о финансировании из местного бюджета, и (или) расходов на реализацию решений, срок действий которых завершается.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Планирование расходов местного бюджета на: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оплату труда работников органов местного самоуправления муниципального образования «Вышнедеревенский сельсовет» осуществлялось исходя из утвержденной структуры, действующей на 1 января 2019 года, и нормативных актов МО «Вышнедеревенский сельсовет» Льговского  Курской области, регулирующих оплату труда;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текущее содержание органа местного самоуправления  - исходя их общих подходов к расчету бюджетных проектировок, а также установленных для МО «Вышнедеревенский сельсовет» Льговского Курской области нормативов формирования расходов на содержание органа местного самоуправления;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При формировании   бюджета поселения на 2020-2022 годы применены общие подходы к расчету бюджетных проектировок: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по коммунальным услугам предусмотрены расходы на уровне ожидаемых расходов 2019 года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по заработной плате работникам муниципальных (казенных) учреждений исходя из утвержденного МРОТ на данный период и с учетом увеличения средней заработной платы работникам учреждений культуры, согласно дорожной карты;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прочие выплаты планируются на уровне отчетных данных об исполнении   бюджета за 9 месяцев 2019года;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5) по расходам на оплату услуг связи, стоимости материальных запасов предусмотрены расходы на уровне ожидаемых расходов 2019 года.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6) расходы на реализацию муниципальных программ учтены в соответствии с объемами, определенными на их реализацию нормативно-правовыми актами, с учетом оценки эффективности реализации муниципальных программ в 2019году;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бюджета поселения согласно статьям 85 и 174.2 БК РФ;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2020 год и на плановый период 2021 и 2022 годов» на момент формирования  бюджета поселения;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9) планирование бюджетных ассигнований на реализацию положений Указа Президента Российской Федерации от 7 мая 2018 года № 204 «О национальных целях и стратегических задачах развития Российской Федерации» осуществляется в соответствии со средней заработной платой категории работников, определенных в указе Президента Российской Федерации, к средней заработной плате в регионе.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Отдельные особенности планирования бюджетных ассигнований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местного бюджета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Подраздел 0104 «Функционирование Правительства Россий</w:t>
      </w: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данным подразделам планируются расходы на содержание глав органов местного самоуправления (0102), на содержание местных администраций согласно утвержденного Комитетом финансов Курской области норматива  на содержание органов местного самоуправления Вышнедеревенского сельсовета (0104).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  Подраздел 0113 «Другие общегосударственные вопросы»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данному подразделу планируются расходы на содержание МКУ «ОДА», публикацию муниципальных правовых актов и иной официальной информации; расходы на уплату членских взносов в Совет муниципальных образований Курской области; уплата налога на имущество и земельного налога, а так же прочие общегосударственные расходы.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   Подраздел 0203 «Мобилизационная и вневойсковая подготовка»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за счет средств федерального бюджета, предусмотренных на эти цели в Законе Курской области «Об областном бюджете на 2020 год и плановый период 2021-2022 годов»;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Подраздел 0501 «Жилищное хозяйство»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В бюджете на 2020 год и плановый период 2021 и 2022 годов по данному подразделу учитываются расходы бюджета поселения на минимальные взносы в Фонд «Региональный оператор фонда капитального ремонта многоквартирных домов Курской области» на капитальный ремонт жилищного фонда, находящегося в муниципальной собственности.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Подраздел 0503 «Благоустройство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Расходы на благоустройство муниципального образования в границах населенных пунктов, включающие уличное освещение, озеленение, расходы связанные с содержанием и уборкой территорий улиц, площадей, придомовых территорий, мостов, строительство, реконструкцию, капитальный ремонт, ремонт и содержание автомобильных дорог (общего и необщего пользования) местного значения и искусственных сооружений на них, а также иные расходы по содержанию объектов благоустройства.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Подраздел 0801 «Культура»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Расходы на создание условий для организации досуга и обеспечение жителей услугами организаций культуры по муниципальному образованию планируются: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заработной плате работникам муниципальных учреждений культуры исходя из повышения средней заработной платы работникам культуры в соответствии с положениями Указа Президента Российской Федерации от 7 мая 2018 года № 204 «О национальных целях и стратегических задачах развития Российской Федерации» на основании средней заработной платой категории работников, определенных в указе Президента Российской Федерации, к средней заработной плате в регионе.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Другие расходы планируются на уровне отчетных данных об исполнении консолидированного бюджета за 9 месяцев 2019 года.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i/>
          <w:iCs/>
          <w:color w:val="000000"/>
          <w:sz w:val="16"/>
          <w:lang w:eastAsia="ru-RU"/>
        </w:rPr>
        <w:t>             Подраздел 1001 «Пенсионное обеспечение»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данному подразделу предусмотрены расходы бюджета Вышнедеревенского сельсовета на доплаты к государственным пен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softHyphen/>
        <w:t>сиям и пенсиям за выслугу лет лицам, замещавшим муниципальные должности муниципальной службы муниципального образования «Вышнедеревенский сельсовет» Льговского района Курской области, объем которых пла</w:t>
      </w: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softHyphen/>
        <w:t>нируется исходя из ожидаемой численности получателей, с учетом ее изменения, а также среднего размера выплат на одного получателя.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52723" w:rsidRPr="00052723" w:rsidRDefault="00052723" w:rsidP="00052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5272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C7274" w:rsidRPr="00052723" w:rsidRDefault="007C7274" w:rsidP="00052723"/>
    <w:sectPr w:rsidR="007C7274" w:rsidRPr="00052723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B540A"/>
    <w:rsid w:val="00052723"/>
    <w:rsid w:val="000B540A"/>
    <w:rsid w:val="00462B1C"/>
    <w:rsid w:val="007C7274"/>
    <w:rsid w:val="00871F01"/>
    <w:rsid w:val="00891B9A"/>
    <w:rsid w:val="008B1C0E"/>
    <w:rsid w:val="00A3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2777</Words>
  <Characters>15835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2023-08-25T11:12:00Z</dcterms:created>
  <dcterms:modified xsi:type="dcterms:W3CDTF">2023-08-25T11:20:00Z</dcterms:modified>
</cp:coreProperties>
</file>